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jc w:val="center"/>
        <w:rPr>
          <w:rFonts w:hint="eastAsia" w:ascii="Times New Roman" w:hAnsi="Times New Roman" w:eastAsia="方正小标宋简体" w:cs="方正小标宋简体"/>
          <w:sz w:val="72"/>
          <w:szCs w:val="7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72"/>
          <w:szCs w:val="72"/>
          <w:lang w:bidi="ar"/>
        </w:rPr>
      </w:pPr>
      <w:bookmarkStart w:id="0" w:name="_GoBack"/>
      <w:bookmarkEnd w:id="0"/>
    </w:p>
    <w:p>
      <w:pPr>
        <w:pStyle w:val="4"/>
        <w:widowControl/>
        <w:spacing w:before="0" w:beforeAutospacing="0" w:after="0" w:afterAutospacing="0"/>
        <w:jc w:val="center"/>
        <w:rPr>
          <w:rFonts w:hint="eastAsia" w:ascii="Times New Roman" w:hAnsi="Times New Roman" w:eastAsia="方正小标宋简体" w:cs="方正小标宋简体"/>
          <w:sz w:val="72"/>
          <w:szCs w:val="7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72"/>
          <w:szCs w:val="7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72"/>
          <w:szCs w:val="72"/>
          <w:lang w:bidi="ar"/>
        </w:rPr>
      </w:pPr>
    </w:p>
    <w:p>
      <w:pPr>
        <w:widowControl/>
        <w:jc w:val="center"/>
        <w:outlineLvl w:val="0"/>
        <w:rPr>
          <w:rFonts w:hint="eastAsia" w:ascii="Times New Roman" w:hAnsi="Times New Roman" w:eastAsia="方正小标宋简体" w:cs="方正小标宋简体"/>
          <w:kern w:val="0"/>
          <w:sz w:val="72"/>
          <w:szCs w:val="72"/>
          <w:lang w:val="en-US" w:eastAsia="zh-CN" w:bidi="ar"/>
        </w:rPr>
      </w:pPr>
      <w:r>
        <w:rPr>
          <w:rFonts w:hint="eastAsia" w:ascii="Times New Roman" w:hAnsi="Times New Roman" w:eastAsia="方正小标宋简体" w:cs="方正小标宋简体"/>
          <w:kern w:val="0"/>
          <w:sz w:val="72"/>
          <w:szCs w:val="72"/>
          <w:lang w:val="en-US" w:eastAsia="zh-CN" w:bidi="ar"/>
        </w:rPr>
        <w:t>乐山市奥林匹克学校</w:t>
      </w:r>
    </w:p>
    <w:p>
      <w:pPr>
        <w:widowControl/>
        <w:ind w:firstLine="880"/>
        <w:jc w:val="center"/>
        <w:outlineLvl w:val="0"/>
        <w:rPr>
          <w:rFonts w:hint="eastAsia" w:ascii="Times New Roman" w:hAnsi="Times New Roman" w:eastAsia="方正小标宋简体" w:cs="方正小标宋简体"/>
          <w:kern w:val="0"/>
          <w:sz w:val="72"/>
          <w:szCs w:val="72"/>
          <w:lang w:bidi="ar"/>
        </w:rPr>
      </w:pPr>
      <w:r>
        <w:rPr>
          <w:rFonts w:hint="eastAsia" w:ascii="Times New Roman" w:hAnsi="Times New Roman" w:eastAsia="方正小标宋简体" w:cs="方正小标宋简体"/>
          <w:kern w:val="0"/>
          <w:sz w:val="72"/>
          <w:szCs w:val="72"/>
          <w:lang w:bidi="ar"/>
        </w:rPr>
        <w:t>202</w:t>
      </w:r>
      <w:r>
        <w:rPr>
          <w:rFonts w:hint="eastAsia" w:ascii="Times New Roman" w:hAnsi="Times New Roman" w:eastAsia="方正小标宋简体" w:cs="方正小标宋简体"/>
          <w:kern w:val="0"/>
          <w:sz w:val="72"/>
          <w:szCs w:val="72"/>
          <w:lang w:val="en-US" w:eastAsia="zh-CN" w:bidi="ar"/>
        </w:rPr>
        <w:t>4</w:t>
      </w:r>
      <w:r>
        <w:rPr>
          <w:rFonts w:hint="eastAsia" w:ascii="Times New Roman" w:hAnsi="Times New Roman" w:eastAsia="方正小标宋简体" w:cs="方正小标宋简体"/>
          <w:kern w:val="0"/>
          <w:sz w:val="72"/>
          <w:szCs w:val="72"/>
          <w:lang w:bidi="ar"/>
        </w:rPr>
        <w:t>年预算</w:t>
      </w:r>
    </w:p>
    <w:p>
      <w:pPr>
        <w:widowControl/>
        <w:ind w:firstLine="880"/>
        <w:jc w:val="center"/>
        <w:outlineLvl w:val="0"/>
        <w:rPr>
          <w:rFonts w:hint="eastAsia" w:ascii="Times New Roman" w:hAnsi="Times New Roman" w:eastAsia="方正小标宋简体" w:cs="方正小标宋简体"/>
          <w:kern w:val="0"/>
          <w:sz w:val="44"/>
          <w:szCs w:val="44"/>
          <w:lang w:bidi="ar"/>
        </w:rPr>
      </w:pPr>
    </w:p>
    <w:p>
      <w:pPr>
        <w:widowControl/>
        <w:ind w:firstLine="880"/>
        <w:jc w:val="center"/>
        <w:outlineLvl w:val="0"/>
        <w:rPr>
          <w:rFonts w:hint="eastAsia" w:ascii="Times New Roman" w:hAnsi="Times New Roman" w:eastAsia="方正小标宋简体" w:cs="方正小标宋简体"/>
          <w:kern w:val="0"/>
          <w:sz w:val="44"/>
          <w:szCs w:val="44"/>
          <w:lang w:bidi="ar"/>
        </w:rPr>
      </w:pPr>
    </w:p>
    <w:p>
      <w:pPr>
        <w:widowControl/>
        <w:ind w:firstLine="880"/>
        <w:jc w:val="center"/>
        <w:outlineLvl w:val="0"/>
        <w:rPr>
          <w:rFonts w:hint="eastAsia" w:ascii="Times New Roman" w:hAnsi="Times New Roman" w:eastAsia="方正小标宋简体" w:cs="方正小标宋简体"/>
          <w:kern w:val="0"/>
          <w:sz w:val="44"/>
          <w:szCs w:val="44"/>
          <w:lang w:bidi="ar"/>
        </w:rPr>
      </w:pPr>
    </w:p>
    <w:p>
      <w:pPr>
        <w:widowControl/>
        <w:ind w:firstLine="880"/>
        <w:jc w:val="center"/>
        <w:outlineLvl w:val="0"/>
        <w:rPr>
          <w:rFonts w:hint="eastAsia" w:ascii="Times New Roman" w:hAnsi="Times New Roman" w:eastAsia="方正小标宋简体" w:cs="方正小标宋简体"/>
          <w:kern w:val="0"/>
          <w:sz w:val="44"/>
          <w:szCs w:val="44"/>
          <w:lang w:bidi="ar"/>
        </w:rPr>
      </w:pPr>
    </w:p>
    <w:p>
      <w:pPr>
        <w:widowControl/>
        <w:ind w:firstLine="880"/>
        <w:jc w:val="center"/>
        <w:outlineLvl w:val="0"/>
        <w:rPr>
          <w:rFonts w:hint="eastAsia" w:ascii="Times New Roman" w:hAnsi="Times New Roman" w:eastAsia="方正小标宋简体" w:cs="方正小标宋简体"/>
          <w:kern w:val="0"/>
          <w:sz w:val="44"/>
          <w:szCs w:val="44"/>
          <w:lang w:bidi="ar"/>
        </w:rPr>
      </w:pPr>
    </w:p>
    <w:p>
      <w:pPr>
        <w:widowControl/>
        <w:ind w:firstLine="880"/>
        <w:jc w:val="center"/>
        <w:outlineLvl w:val="0"/>
        <w:rPr>
          <w:rFonts w:hint="eastAsia" w:ascii="Times New Roman" w:hAnsi="Times New Roman" w:eastAsia="方正小标宋简体" w:cs="方正小标宋简体"/>
          <w:kern w:val="0"/>
          <w:sz w:val="44"/>
          <w:szCs w:val="44"/>
          <w:lang w:bidi="ar"/>
        </w:rPr>
      </w:pPr>
    </w:p>
    <w:p>
      <w:pPr>
        <w:widowControl/>
        <w:ind w:firstLine="880"/>
        <w:jc w:val="center"/>
        <w:outlineLvl w:val="0"/>
        <w:rPr>
          <w:rFonts w:hint="eastAsia" w:ascii="Times New Roman" w:hAnsi="Times New Roman" w:eastAsia="方正小标宋简体" w:cs="方正小标宋简体"/>
          <w:kern w:val="0"/>
          <w:sz w:val="44"/>
          <w:szCs w:val="44"/>
          <w:lang w:bidi="ar"/>
        </w:rPr>
      </w:pPr>
    </w:p>
    <w:p>
      <w:pPr>
        <w:widowControl/>
        <w:ind w:firstLine="880"/>
        <w:jc w:val="center"/>
        <w:outlineLvl w:val="0"/>
        <w:rPr>
          <w:rFonts w:hint="eastAsia" w:ascii="Times New Roman" w:hAnsi="Times New Roman" w:eastAsia="方正小标宋简体" w:cs="方正小标宋简体"/>
          <w:kern w:val="0"/>
          <w:sz w:val="44"/>
          <w:szCs w:val="44"/>
          <w:lang w:bidi="ar"/>
        </w:rPr>
      </w:pPr>
    </w:p>
    <w:p>
      <w:pPr>
        <w:widowControl/>
        <w:ind w:firstLine="880"/>
        <w:jc w:val="center"/>
        <w:outlineLvl w:val="0"/>
        <w:rPr>
          <w:rFonts w:hint="eastAsia" w:ascii="Times New Roman" w:hAnsi="Times New Roman" w:eastAsia="方正小标宋简体" w:cs="方正小标宋简体"/>
          <w:kern w:val="0"/>
          <w:sz w:val="44"/>
          <w:szCs w:val="44"/>
          <w:lang w:bidi="ar"/>
        </w:rPr>
      </w:pPr>
    </w:p>
    <w:p>
      <w:pPr>
        <w:widowControl/>
        <w:ind w:firstLine="880"/>
        <w:jc w:val="center"/>
        <w:outlineLvl w:val="0"/>
        <w:rPr>
          <w:rFonts w:hint="eastAsia" w:ascii="Times New Roman" w:hAnsi="Times New Roman" w:eastAsia="方正小标宋简体" w:cs="方正小标宋简体"/>
          <w:kern w:val="0"/>
          <w:sz w:val="44"/>
          <w:szCs w:val="44"/>
          <w:lang w:bidi="ar"/>
        </w:rPr>
      </w:pPr>
    </w:p>
    <w:p>
      <w:pPr>
        <w:widowControl/>
        <w:ind w:firstLine="880"/>
        <w:jc w:val="center"/>
        <w:outlineLvl w:val="0"/>
        <w:rPr>
          <w:rStyle w:val="7"/>
          <w:rFonts w:ascii="Times New Roman" w:hAnsi="Times New Roman" w:eastAsia="黑体" w:cs="宋体"/>
          <w:color w:val="333333"/>
          <w:sz w:val="32"/>
          <w:szCs w:val="21"/>
        </w:rPr>
      </w:pPr>
      <w:r>
        <w:rPr>
          <w:rFonts w:hint="eastAsia" w:ascii="Times New Roman" w:hAnsi="Times New Roman" w:eastAsia="方正小标宋简体" w:cs="方正小标宋简体"/>
          <w:kern w:val="0"/>
          <w:sz w:val="44"/>
          <w:szCs w:val="44"/>
          <w:lang w:bidi="ar"/>
        </w:rPr>
        <w:t>目录</w:t>
      </w:r>
    </w:p>
    <w:p>
      <w:pPr>
        <w:pStyle w:val="4"/>
        <w:widowControl/>
        <w:spacing w:before="0" w:beforeAutospacing="0" w:after="0" w:afterAutospacing="0" w:line="600" w:lineRule="exact"/>
        <w:ind w:firstLine="640" w:firstLineChars="200"/>
        <w:jc w:val="both"/>
        <w:outlineLvl w:val="0"/>
        <w:rPr>
          <w:rFonts w:ascii="Times New Roman" w:hAnsi="Times New Roman" w:cs="宋体"/>
          <w:bCs/>
          <w:color w:val="333333"/>
          <w:sz w:val="21"/>
          <w:szCs w:val="21"/>
        </w:rPr>
      </w:pPr>
      <w:r>
        <w:rPr>
          <w:rStyle w:val="7"/>
          <w:rFonts w:ascii="Times New Roman" w:hAnsi="Times New Roman" w:eastAsia="黑体" w:cs="宋体"/>
          <w:b w:val="0"/>
          <w:bCs/>
          <w:color w:val="333333"/>
          <w:sz w:val="32"/>
          <w:szCs w:val="21"/>
        </w:rPr>
        <w:t>第一部分</w:t>
      </w:r>
      <w:r>
        <w:rPr>
          <w:rStyle w:val="7"/>
          <w:rFonts w:hint="eastAsia" w:ascii="Times New Roman" w:hAnsi="Times New Roman" w:eastAsia="黑体" w:cs="宋体"/>
          <w:b w:val="0"/>
          <w:bCs/>
          <w:color w:val="333333"/>
          <w:sz w:val="32"/>
          <w:szCs w:val="21"/>
        </w:rPr>
        <w:t xml:space="preserve"> </w:t>
      </w:r>
      <w:r>
        <w:rPr>
          <w:rStyle w:val="7"/>
          <w:rFonts w:ascii="Times New Roman" w:hAnsi="Times New Roman" w:eastAsia="黑体" w:cs="宋体"/>
          <w:b w:val="0"/>
          <w:bCs/>
          <w:color w:val="333333"/>
          <w:sz w:val="32"/>
          <w:szCs w:val="21"/>
        </w:rPr>
        <w:t xml:space="preserve"> </w:t>
      </w:r>
      <w:r>
        <w:rPr>
          <w:rStyle w:val="7"/>
          <w:rFonts w:hint="eastAsia" w:ascii="Times New Roman" w:hAnsi="Times New Roman" w:eastAsia="黑体" w:cs="宋体"/>
          <w:b w:val="0"/>
          <w:bCs/>
          <w:color w:val="333333"/>
          <w:sz w:val="32"/>
          <w:szCs w:val="21"/>
          <w:lang w:val="en-US" w:eastAsia="zh-CN"/>
        </w:rPr>
        <w:t>乐山市奥林匹克学校</w:t>
      </w:r>
      <w:r>
        <w:rPr>
          <w:rStyle w:val="7"/>
          <w:rFonts w:ascii="Times New Roman" w:hAnsi="Times New Roman" w:eastAsia="黑体" w:cs="宋体"/>
          <w:b w:val="0"/>
          <w:bCs/>
          <w:color w:val="333333"/>
          <w:sz w:val="32"/>
          <w:szCs w:val="21"/>
        </w:rPr>
        <w:t>概况</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一、基本职能及主要工作</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二、</w:t>
      </w:r>
      <w:r>
        <w:rPr>
          <w:rFonts w:hint="eastAsia" w:ascii="Times New Roman" w:hAnsi="Times New Roman" w:eastAsia="仿宋_GB2312" w:cs="仿宋_GB2312"/>
          <w:color w:val="333333"/>
          <w:sz w:val="32"/>
          <w:szCs w:val="32"/>
          <w:lang w:eastAsia="zh-CN"/>
        </w:rPr>
        <w:t>单位</w:t>
      </w:r>
      <w:r>
        <w:rPr>
          <w:rFonts w:hint="eastAsia" w:ascii="Times New Roman" w:hAnsi="Times New Roman" w:eastAsia="仿宋_GB2312" w:cs="仿宋_GB2312"/>
          <w:color w:val="333333"/>
          <w:sz w:val="32"/>
          <w:szCs w:val="32"/>
        </w:rPr>
        <w:t>预算单位构成</w:t>
      </w:r>
    </w:p>
    <w:p>
      <w:pPr>
        <w:pStyle w:val="4"/>
        <w:widowControl/>
        <w:spacing w:before="0" w:beforeAutospacing="0" w:after="0" w:afterAutospacing="0" w:line="600" w:lineRule="exact"/>
        <w:ind w:firstLine="640" w:firstLineChars="200"/>
        <w:jc w:val="both"/>
        <w:outlineLvl w:val="0"/>
        <w:rPr>
          <w:rFonts w:ascii="Times New Roman" w:hAnsi="Times New Roman" w:cs="宋体"/>
          <w:bCs/>
          <w:color w:val="333333"/>
          <w:sz w:val="21"/>
          <w:szCs w:val="21"/>
        </w:rPr>
      </w:pPr>
      <w:r>
        <w:rPr>
          <w:rStyle w:val="7"/>
          <w:rFonts w:ascii="Times New Roman" w:hAnsi="Times New Roman" w:eastAsia="黑体" w:cs="宋体"/>
          <w:b w:val="0"/>
          <w:bCs/>
          <w:color w:val="333333"/>
          <w:sz w:val="32"/>
          <w:szCs w:val="21"/>
        </w:rPr>
        <w:t>第二部分</w:t>
      </w:r>
      <w:r>
        <w:rPr>
          <w:rStyle w:val="7"/>
          <w:rFonts w:hint="eastAsia" w:ascii="Times New Roman" w:hAnsi="Times New Roman" w:eastAsia="黑体" w:cs="宋体"/>
          <w:b w:val="0"/>
          <w:bCs/>
          <w:color w:val="333333"/>
          <w:sz w:val="32"/>
          <w:szCs w:val="21"/>
        </w:rPr>
        <w:t xml:space="preserve"> </w:t>
      </w:r>
      <w:r>
        <w:rPr>
          <w:rStyle w:val="7"/>
          <w:rFonts w:hint="eastAsia" w:ascii="Times New Roman" w:hAnsi="Times New Roman" w:eastAsia="黑体" w:cs="宋体"/>
          <w:b w:val="0"/>
          <w:bCs/>
          <w:color w:val="333333"/>
          <w:sz w:val="32"/>
          <w:szCs w:val="21"/>
          <w:lang w:val="en-US" w:eastAsia="zh-CN"/>
        </w:rPr>
        <w:t>乐山市奥林匹克学校</w:t>
      </w:r>
      <w:r>
        <w:rPr>
          <w:rStyle w:val="7"/>
          <w:rFonts w:ascii="Times New Roman" w:hAnsi="Times New Roman" w:eastAsia="黑体" w:cs="宋体"/>
          <w:b w:val="0"/>
          <w:bCs/>
          <w:color w:val="333333"/>
          <w:sz w:val="32"/>
          <w:szCs w:val="21"/>
        </w:rPr>
        <w:t>202</w:t>
      </w:r>
      <w:r>
        <w:rPr>
          <w:rStyle w:val="7"/>
          <w:rFonts w:hint="eastAsia" w:ascii="Times New Roman" w:hAnsi="Times New Roman" w:eastAsia="黑体" w:cs="宋体"/>
          <w:b w:val="0"/>
          <w:bCs/>
          <w:color w:val="333333"/>
          <w:sz w:val="32"/>
          <w:szCs w:val="21"/>
          <w:lang w:val="en-US" w:eastAsia="zh-CN"/>
        </w:rPr>
        <w:t>4</w:t>
      </w:r>
      <w:r>
        <w:rPr>
          <w:rStyle w:val="7"/>
          <w:rFonts w:ascii="Times New Roman" w:hAnsi="Times New Roman" w:eastAsia="黑体" w:cs="宋体"/>
          <w:b w:val="0"/>
          <w:bCs/>
          <w:color w:val="333333"/>
          <w:sz w:val="32"/>
          <w:szCs w:val="21"/>
        </w:rPr>
        <w:t>年</w:t>
      </w:r>
      <w:r>
        <w:rPr>
          <w:rStyle w:val="7"/>
          <w:rFonts w:hint="eastAsia" w:ascii="Times New Roman" w:hAnsi="Times New Roman" w:eastAsia="黑体" w:cs="宋体"/>
          <w:b w:val="0"/>
          <w:bCs/>
          <w:color w:val="333333"/>
          <w:sz w:val="32"/>
          <w:szCs w:val="21"/>
          <w:lang w:eastAsia="zh-CN"/>
        </w:rPr>
        <w:t>单位</w:t>
      </w:r>
      <w:r>
        <w:rPr>
          <w:rStyle w:val="7"/>
          <w:rFonts w:ascii="Times New Roman" w:hAnsi="Times New Roman" w:eastAsia="黑体" w:cs="宋体"/>
          <w:b w:val="0"/>
          <w:bCs/>
          <w:color w:val="333333"/>
          <w:sz w:val="32"/>
          <w:szCs w:val="21"/>
        </w:rPr>
        <w:t>预算表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一、</w:t>
      </w:r>
      <w:r>
        <w:rPr>
          <w:rFonts w:hint="eastAsia" w:ascii="Times New Roman" w:hAnsi="Times New Roman" w:eastAsia="仿宋_GB2312" w:cs="仿宋_GB2312"/>
          <w:color w:val="333333"/>
          <w:sz w:val="32"/>
          <w:szCs w:val="32"/>
          <w:lang w:eastAsia="zh-CN"/>
        </w:rPr>
        <w:t>单位</w:t>
      </w:r>
      <w:r>
        <w:rPr>
          <w:rFonts w:hint="eastAsia" w:ascii="Times New Roman" w:hAnsi="Times New Roman" w:eastAsia="仿宋_GB2312" w:cs="仿宋_GB2312"/>
          <w:color w:val="333333"/>
          <w:sz w:val="32"/>
          <w:szCs w:val="32"/>
        </w:rPr>
        <w:t>收支总表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二、</w:t>
      </w:r>
      <w:r>
        <w:rPr>
          <w:rFonts w:hint="eastAsia" w:ascii="Times New Roman" w:hAnsi="Times New Roman" w:eastAsia="仿宋_GB2312" w:cs="仿宋_GB2312"/>
          <w:color w:val="333333"/>
          <w:sz w:val="32"/>
          <w:szCs w:val="32"/>
          <w:lang w:eastAsia="zh-CN"/>
        </w:rPr>
        <w:t>单位</w:t>
      </w:r>
      <w:r>
        <w:rPr>
          <w:rFonts w:hint="eastAsia" w:ascii="Times New Roman" w:hAnsi="Times New Roman" w:eastAsia="仿宋_GB2312" w:cs="仿宋_GB2312"/>
          <w:color w:val="333333"/>
          <w:sz w:val="32"/>
          <w:szCs w:val="32"/>
        </w:rPr>
        <w:t>收入总表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三、</w:t>
      </w:r>
      <w:r>
        <w:rPr>
          <w:rFonts w:hint="eastAsia" w:ascii="Times New Roman" w:hAnsi="Times New Roman" w:eastAsia="仿宋_GB2312" w:cs="仿宋_GB2312"/>
          <w:color w:val="333333"/>
          <w:sz w:val="32"/>
          <w:szCs w:val="32"/>
          <w:lang w:eastAsia="zh-CN"/>
        </w:rPr>
        <w:t>单位</w:t>
      </w:r>
      <w:r>
        <w:rPr>
          <w:rFonts w:hint="eastAsia" w:ascii="Times New Roman" w:hAnsi="Times New Roman" w:eastAsia="仿宋_GB2312" w:cs="仿宋_GB2312"/>
          <w:color w:val="333333"/>
          <w:sz w:val="32"/>
          <w:szCs w:val="32"/>
        </w:rPr>
        <w:t>支出总表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四、财政拨款收支预算总表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五、财政拨款支出预算表（</w:t>
      </w:r>
      <w:r>
        <w:rPr>
          <w:rFonts w:hint="eastAsia" w:ascii="Times New Roman" w:hAnsi="Times New Roman" w:eastAsia="仿宋_GB2312" w:cs="仿宋_GB2312"/>
          <w:color w:val="333333"/>
          <w:sz w:val="32"/>
          <w:szCs w:val="32"/>
          <w:lang w:eastAsia="zh-CN"/>
        </w:rPr>
        <w:t>单位</w:t>
      </w:r>
      <w:r>
        <w:rPr>
          <w:rFonts w:hint="eastAsia" w:ascii="Times New Roman" w:hAnsi="Times New Roman" w:eastAsia="仿宋_GB2312" w:cs="仿宋_GB2312"/>
          <w:color w:val="333333"/>
          <w:sz w:val="32"/>
          <w:szCs w:val="32"/>
        </w:rPr>
        <w:t>经济分类科目）</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六、一般公共预算支出预算表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七、一般公共预算基本支出预算表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八、一般公共预算项目支出预算表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九、一般公共预算“三公”经费支出预算表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十、政府性基金预算支出表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十一、政府性基金预算“三公”经费支出预算表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十二、国有资本经营预算支出表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十三、</w:t>
      </w:r>
      <w:r>
        <w:rPr>
          <w:rFonts w:hint="eastAsia" w:ascii="Times New Roman" w:hAnsi="Times New Roman" w:eastAsia="仿宋_GB2312" w:cs="仿宋_GB2312"/>
          <w:color w:val="333333"/>
          <w:sz w:val="32"/>
          <w:szCs w:val="32"/>
          <w:lang w:eastAsia="zh-CN"/>
        </w:rPr>
        <w:t>单位</w:t>
      </w:r>
      <w:r>
        <w:rPr>
          <w:rFonts w:hint="eastAsia" w:ascii="Times New Roman" w:hAnsi="Times New Roman" w:eastAsia="仿宋_GB2312" w:cs="仿宋_GB2312"/>
          <w:color w:val="333333"/>
          <w:sz w:val="32"/>
          <w:szCs w:val="32"/>
        </w:rPr>
        <w:t>预算项目支出绩效目标表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十四、</w:t>
      </w:r>
      <w:r>
        <w:rPr>
          <w:rFonts w:hint="eastAsia" w:ascii="Times New Roman" w:hAnsi="Times New Roman" w:eastAsia="仿宋_GB2312" w:cs="仿宋_GB2312"/>
          <w:color w:val="333333"/>
          <w:sz w:val="32"/>
          <w:szCs w:val="32"/>
          <w:lang w:eastAsia="zh-CN"/>
        </w:rPr>
        <w:t>单位</w:t>
      </w:r>
      <w:r>
        <w:rPr>
          <w:rFonts w:hint="eastAsia" w:ascii="Times New Roman" w:hAnsi="Times New Roman" w:eastAsia="仿宋_GB2312" w:cs="仿宋_GB2312"/>
          <w:color w:val="333333"/>
          <w:sz w:val="32"/>
          <w:szCs w:val="32"/>
        </w:rPr>
        <w:t>整体支出绩效目标表</w:t>
      </w: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十五、政府采购预算表</w:t>
      </w:r>
    </w:p>
    <w:p>
      <w:pPr>
        <w:pStyle w:val="4"/>
        <w:widowControl/>
        <w:spacing w:before="0" w:beforeAutospacing="0" w:after="0" w:afterAutospacing="0" w:line="600" w:lineRule="exact"/>
        <w:ind w:firstLine="640" w:firstLineChars="200"/>
        <w:jc w:val="both"/>
        <w:outlineLvl w:val="0"/>
        <w:rPr>
          <w:rStyle w:val="7"/>
          <w:rFonts w:ascii="Times New Roman" w:hAnsi="Times New Roman" w:eastAsia="黑体" w:cs="宋体"/>
          <w:b w:val="0"/>
          <w:bCs/>
          <w:color w:val="333333"/>
          <w:sz w:val="32"/>
          <w:szCs w:val="21"/>
        </w:rPr>
      </w:pPr>
      <w:r>
        <w:rPr>
          <w:rStyle w:val="7"/>
          <w:rFonts w:ascii="Times New Roman" w:hAnsi="Times New Roman" w:eastAsia="黑体" w:cs="宋体"/>
          <w:b w:val="0"/>
          <w:bCs/>
          <w:color w:val="333333"/>
          <w:sz w:val="32"/>
          <w:szCs w:val="21"/>
        </w:rPr>
        <w:t>第三部分</w:t>
      </w:r>
      <w:r>
        <w:rPr>
          <w:rStyle w:val="7"/>
          <w:rFonts w:hint="eastAsia" w:ascii="Times New Roman" w:hAnsi="Times New Roman" w:eastAsia="黑体" w:cs="宋体"/>
          <w:b w:val="0"/>
          <w:bCs/>
          <w:color w:val="333333"/>
          <w:sz w:val="32"/>
          <w:szCs w:val="21"/>
        </w:rPr>
        <w:t xml:space="preserve"> </w:t>
      </w:r>
      <w:r>
        <w:rPr>
          <w:rStyle w:val="7"/>
          <w:rFonts w:hint="eastAsia" w:ascii="Times New Roman" w:hAnsi="Times New Roman" w:eastAsia="黑体" w:cs="宋体"/>
          <w:b w:val="0"/>
          <w:bCs/>
          <w:color w:val="333333"/>
          <w:sz w:val="32"/>
          <w:szCs w:val="21"/>
          <w:lang w:val="en-US" w:eastAsia="zh-CN"/>
        </w:rPr>
        <w:t>乐山市奥林匹克学校</w:t>
      </w:r>
      <w:r>
        <w:rPr>
          <w:rStyle w:val="7"/>
          <w:rFonts w:ascii="Times New Roman" w:hAnsi="Times New Roman" w:eastAsia="黑体" w:cs="宋体"/>
          <w:b w:val="0"/>
          <w:bCs/>
          <w:color w:val="333333"/>
          <w:sz w:val="32"/>
          <w:szCs w:val="21"/>
        </w:rPr>
        <w:t>202</w:t>
      </w:r>
      <w:r>
        <w:rPr>
          <w:rStyle w:val="7"/>
          <w:rFonts w:hint="eastAsia" w:ascii="Times New Roman" w:hAnsi="Times New Roman" w:eastAsia="黑体" w:cs="宋体"/>
          <w:b w:val="0"/>
          <w:bCs/>
          <w:color w:val="333333"/>
          <w:sz w:val="32"/>
          <w:szCs w:val="21"/>
          <w:lang w:val="en-US" w:eastAsia="zh-CN"/>
        </w:rPr>
        <w:t>4</w:t>
      </w:r>
      <w:r>
        <w:rPr>
          <w:rStyle w:val="7"/>
          <w:rFonts w:ascii="Times New Roman" w:hAnsi="Times New Roman" w:eastAsia="黑体" w:cs="宋体"/>
          <w:b w:val="0"/>
          <w:bCs/>
          <w:color w:val="333333"/>
          <w:sz w:val="32"/>
          <w:szCs w:val="21"/>
        </w:rPr>
        <w:t>年</w:t>
      </w:r>
      <w:r>
        <w:rPr>
          <w:rStyle w:val="7"/>
          <w:rFonts w:hint="eastAsia" w:ascii="Times New Roman" w:hAnsi="Times New Roman" w:eastAsia="黑体" w:cs="宋体"/>
          <w:b w:val="0"/>
          <w:bCs/>
          <w:color w:val="333333"/>
          <w:sz w:val="32"/>
          <w:szCs w:val="21"/>
          <w:lang w:eastAsia="zh-CN"/>
        </w:rPr>
        <w:t>单位</w:t>
      </w:r>
      <w:r>
        <w:rPr>
          <w:rStyle w:val="7"/>
          <w:rFonts w:ascii="Times New Roman" w:hAnsi="Times New Roman" w:eastAsia="黑体" w:cs="宋体"/>
          <w:b w:val="0"/>
          <w:bCs/>
          <w:color w:val="333333"/>
          <w:sz w:val="32"/>
          <w:szCs w:val="21"/>
        </w:rPr>
        <w:t>预算情况说明</w:t>
      </w:r>
    </w:p>
    <w:p>
      <w:pPr>
        <w:pStyle w:val="4"/>
        <w:widowControl/>
        <w:spacing w:before="0" w:beforeAutospacing="0" w:after="0" w:afterAutospacing="0" w:line="600" w:lineRule="exact"/>
        <w:ind w:firstLine="640" w:firstLineChars="200"/>
        <w:jc w:val="both"/>
        <w:outlineLvl w:val="0"/>
        <w:rPr>
          <w:rStyle w:val="7"/>
          <w:rFonts w:ascii="Times New Roman" w:hAnsi="Times New Roman" w:eastAsia="黑体" w:cs="宋体"/>
          <w:b w:val="0"/>
          <w:bCs/>
          <w:color w:val="333333"/>
          <w:sz w:val="32"/>
          <w:szCs w:val="21"/>
        </w:rPr>
      </w:pPr>
      <w:r>
        <w:rPr>
          <w:rStyle w:val="7"/>
          <w:rFonts w:ascii="Times New Roman" w:hAnsi="Times New Roman" w:eastAsia="黑体" w:cs="宋体"/>
          <w:b w:val="0"/>
          <w:bCs/>
          <w:color w:val="333333"/>
          <w:sz w:val="32"/>
          <w:szCs w:val="21"/>
        </w:rPr>
        <w:t>第四部分</w:t>
      </w:r>
      <w:r>
        <w:rPr>
          <w:rStyle w:val="7"/>
          <w:rFonts w:hint="eastAsia" w:ascii="Times New Roman" w:hAnsi="Times New Roman" w:eastAsia="黑体" w:cs="宋体"/>
          <w:b w:val="0"/>
          <w:bCs/>
          <w:color w:val="333333"/>
          <w:sz w:val="32"/>
          <w:szCs w:val="21"/>
        </w:rPr>
        <w:t xml:space="preserve">  </w:t>
      </w:r>
      <w:r>
        <w:rPr>
          <w:rStyle w:val="7"/>
          <w:rFonts w:ascii="Times New Roman" w:hAnsi="Times New Roman" w:eastAsia="黑体" w:cs="宋体"/>
          <w:b w:val="0"/>
          <w:bCs/>
          <w:color w:val="333333"/>
          <w:sz w:val="32"/>
          <w:szCs w:val="21"/>
        </w:rPr>
        <w:t>名词解释</w:t>
      </w: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sectPr>
          <w:footerReference r:id="rId3" w:type="default"/>
          <w:pgSz w:w="11906" w:h="16838"/>
          <w:pgMar w:top="1440" w:right="1800" w:bottom="1440" w:left="1800" w:header="720" w:footer="720" w:gutter="0"/>
          <w:pgNumType w:fmt="numberInDash" w:start="1"/>
          <w:cols w:space="720" w:num="1"/>
          <w:docGrid w:type="lines" w:linePitch="312" w:charSpace="0"/>
        </w:sect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outlineLvl w:val="0"/>
        <w:rPr>
          <w:rFonts w:hint="eastAsia"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t>第一部</w:t>
      </w:r>
      <w:r>
        <w:rPr>
          <w:rFonts w:hint="eastAsia" w:ascii="Times New Roman" w:hAnsi="Times New Roman" w:eastAsia="方正小标宋简体" w:cs="方正小标宋简体"/>
          <w:sz w:val="52"/>
          <w:szCs w:val="52"/>
          <w:lang w:val="en-US" w:eastAsia="zh-CN" w:bidi="ar"/>
        </w:rPr>
        <w:t>分乐山市奥林匹克学校</w:t>
      </w:r>
      <w:r>
        <w:rPr>
          <w:rFonts w:hint="eastAsia" w:ascii="Times New Roman" w:hAnsi="Times New Roman" w:eastAsia="方正小标宋简体" w:cs="方正小标宋简体"/>
          <w:sz w:val="52"/>
          <w:szCs w:val="52"/>
          <w:lang w:bidi="ar"/>
        </w:rPr>
        <w:t>概况</w:t>
      </w:r>
    </w:p>
    <w:p>
      <w:pPr>
        <w:pStyle w:val="4"/>
        <w:widowControl/>
        <w:adjustRightInd w:val="0"/>
        <w:spacing w:before="0" w:beforeAutospacing="0" w:after="0" w:afterAutospacing="0"/>
        <w:ind w:firstLine="640" w:firstLineChars="200"/>
        <w:jc w:val="both"/>
        <w:rPr>
          <w:rStyle w:val="7"/>
          <w:rFonts w:hint="eastAsia" w:ascii="Times New Roman" w:hAnsi="Times New Roman" w:eastAsia="黑体" w:cs="宋体"/>
          <w:b w:val="0"/>
          <w:bCs/>
          <w:color w:val="333333"/>
          <w:sz w:val="32"/>
          <w:szCs w:val="21"/>
        </w:rPr>
        <w:sectPr>
          <w:footerReference r:id="rId4" w:type="default"/>
          <w:pgSz w:w="11906" w:h="16838"/>
          <w:pgMar w:top="1440" w:right="1800" w:bottom="1440" w:left="1800" w:header="720" w:footer="720" w:gutter="0"/>
          <w:pgNumType w:fmt="numberInDash" w:start="1"/>
          <w:cols w:space="720" w:num="1"/>
          <w:docGrid w:type="lines" w:linePitch="312" w:charSpace="0"/>
        </w:sectPr>
      </w:pPr>
    </w:p>
    <w:p>
      <w:pPr>
        <w:pStyle w:val="4"/>
        <w:widowControl/>
        <w:adjustRightInd w:val="0"/>
        <w:spacing w:before="0" w:beforeAutospacing="0" w:after="0" w:afterAutospacing="0"/>
        <w:ind w:firstLine="640" w:firstLineChars="200"/>
        <w:jc w:val="both"/>
        <w:outlineLvl w:val="1"/>
        <w:rPr>
          <w:rStyle w:val="7"/>
          <w:rFonts w:hint="eastAsia" w:ascii="Times New Roman" w:hAnsi="Times New Roman" w:eastAsia="黑体" w:cs="宋体"/>
          <w:b w:val="0"/>
          <w:bCs/>
          <w:color w:val="333333"/>
          <w:sz w:val="32"/>
          <w:szCs w:val="21"/>
        </w:rPr>
      </w:pPr>
      <w:r>
        <w:rPr>
          <w:rStyle w:val="7"/>
          <w:rFonts w:hint="eastAsia" w:ascii="Times New Roman" w:hAnsi="Times New Roman" w:eastAsia="黑体" w:cs="宋体"/>
          <w:b w:val="0"/>
          <w:bCs/>
          <w:color w:val="333333"/>
          <w:sz w:val="32"/>
          <w:szCs w:val="21"/>
        </w:rPr>
        <w:t>一、基本职能及主要工作</w:t>
      </w:r>
    </w:p>
    <w:p>
      <w:pPr>
        <w:snapToGrid w:val="0"/>
        <w:spacing w:line="520" w:lineRule="exact"/>
        <w:ind w:firstLine="643" w:firstLineChars="200"/>
        <w:jc w:val="left"/>
        <w:rPr>
          <w:rFonts w:hint="eastAsia" w:ascii="Times New Roman" w:hAnsi="Times New Roman" w:eastAsia="楷体_GB2312"/>
          <w:b/>
          <w:sz w:val="32"/>
          <w:szCs w:val="32"/>
        </w:rPr>
      </w:pPr>
      <w:r>
        <w:rPr>
          <w:rFonts w:hint="eastAsia" w:ascii="Times New Roman" w:hAnsi="Times New Roman" w:eastAsia="楷体_GB2312"/>
          <w:b/>
          <w:sz w:val="32"/>
          <w:szCs w:val="32"/>
        </w:rPr>
        <w:t>（一）职能简介。</w:t>
      </w:r>
    </w:p>
    <w:p>
      <w:pPr>
        <w:snapToGrid w:val="0"/>
        <w:spacing w:line="520" w:lineRule="exact"/>
        <w:ind w:firstLine="640" w:firstLineChars="200"/>
        <w:jc w:val="left"/>
        <w:rPr>
          <w:rFonts w:hint="eastAsia" w:ascii="Times New Roman" w:hAnsi="Times New Roman" w:eastAsia="仿宋_GB2312" w:cs="仿宋_GB2312"/>
          <w:bCs/>
          <w:sz w:val="32"/>
          <w:szCs w:val="32"/>
          <w:u w:val="single"/>
        </w:rPr>
      </w:pPr>
      <w:r>
        <w:rPr>
          <w:rFonts w:hint="eastAsia" w:ascii="仿宋_GB2312" w:hAnsi="仿宋" w:eastAsia="仿宋_GB2312" w:cs="Times New Roman"/>
          <w:sz w:val="32"/>
          <w:szCs w:val="32"/>
          <w:lang w:val="en-US" w:eastAsia="zh-CN"/>
        </w:rPr>
        <w:t>乐山市奥林匹克学校</w:t>
      </w:r>
      <w:r>
        <w:rPr>
          <w:rFonts w:hint="eastAsia" w:ascii="仿宋_GB2312" w:hAnsi="仿宋" w:eastAsia="仿宋_GB2312"/>
          <w:sz w:val="32"/>
          <w:szCs w:val="32"/>
        </w:rPr>
        <w:t>主要职能</w:t>
      </w:r>
      <w:r>
        <w:rPr>
          <w:rFonts w:hint="eastAsia" w:ascii="仿宋_GB2312" w:hAnsi="仿宋" w:eastAsia="仿宋_GB2312" w:cs="Times New Roman"/>
          <w:sz w:val="32"/>
          <w:szCs w:val="32"/>
          <w:lang w:val="en-US" w:eastAsia="zh-CN"/>
        </w:rPr>
        <w:t>是全面贯彻党的体育教育方针，培养和输送高水平体育后备人才和社会体育人才，承担乐山市组队参加省运会和全国单项比赛任务</w:t>
      </w:r>
      <w:r>
        <w:rPr>
          <w:rFonts w:hint="eastAsia" w:ascii="仿宋_GB2312" w:hAnsi="仿宋" w:eastAsia="仿宋_GB2312"/>
          <w:sz w:val="32"/>
          <w:szCs w:val="32"/>
        </w:rPr>
        <w:t>。</w:t>
      </w:r>
    </w:p>
    <w:p>
      <w:pPr>
        <w:pStyle w:val="2"/>
        <w:adjustRightInd w:val="0"/>
        <w:spacing w:before="130" w:line="580" w:lineRule="exact"/>
        <w:ind w:firstLine="675" w:firstLineChars="210"/>
        <w:rPr>
          <w:rFonts w:hint="eastAsia" w:ascii="Times New Roman" w:hAnsi="Times New Roman" w:eastAsia="楷体_GB2312"/>
          <w:b/>
          <w:sz w:val="32"/>
          <w:szCs w:val="32"/>
        </w:rPr>
      </w:pPr>
      <w:r>
        <w:rPr>
          <w:rFonts w:hint="eastAsia" w:ascii="Times New Roman" w:hAnsi="Times New Roman" w:eastAsia="楷体_GB2312"/>
          <w:b/>
          <w:sz w:val="32"/>
          <w:szCs w:val="32"/>
        </w:rPr>
        <w:t>（二）202</w:t>
      </w:r>
      <w:r>
        <w:rPr>
          <w:rFonts w:hint="eastAsia" w:ascii="Times New Roman" w:hAnsi="Times New Roman" w:eastAsia="楷体_GB2312"/>
          <w:b/>
          <w:sz w:val="32"/>
          <w:szCs w:val="32"/>
          <w:lang w:val="en-US" w:eastAsia="zh-CN"/>
        </w:rPr>
        <w:t>4</w:t>
      </w:r>
      <w:r>
        <w:rPr>
          <w:rFonts w:hint="eastAsia" w:ascii="Times New Roman" w:hAnsi="Times New Roman" w:eastAsia="楷体_GB2312"/>
          <w:b/>
          <w:sz w:val="32"/>
          <w:szCs w:val="32"/>
        </w:rPr>
        <w:t>年重点工作。</w:t>
      </w:r>
    </w:p>
    <w:p>
      <w:pPr>
        <w:pStyle w:val="2"/>
        <w:adjustRightInd w:val="0"/>
        <w:spacing w:before="130" w:line="580" w:lineRule="exact"/>
        <w:ind w:firstLine="672" w:firstLineChars="21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完成基本教学工作，完成2024年省十五运会资格赛暨2024年省青少年锦标赛参赛工作。</w:t>
      </w:r>
    </w:p>
    <w:p>
      <w:pPr>
        <w:pStyle w:val="4"/>
        <w:widowControl/>
        <w:spacing w:before="0" w:beforeAutospacing="0" w:after="0" w:afterAutospacing="0" w:line="600" w:lineRule="exact"/>
        <w:ind w:firstLine="640" w:firstLineChars="200"/>
        <w:jc w:val="both"/>
        <w:outlineLvl w:val="1"/>
        <w:rPr>
          <w:rStyle w:val="7"/>
          <w:rFonts w:hint="eastAsia" w:ascii="Times New Roman" w:hAnsi="Times New Roman" w:eastAsia="黑体" w:cs="宋体"/>
          <w:b w:val="0"/>
          <w:bCs/>
          <w:color w:val="333333"/>
          <w:sz w:val="32"/>
          <w:szCs w:val="21"/>
        </w:rPr>
      </w:pPr>
      <w:r>
        <w:rPr>
          <w:rStyle w:val="7"/>
          <w:rFonts w:hint="eastAsia" w:ascii="Times New Roman" w:hAnsi="Times New Roman" w:eastAsia="黑体" w:cs="宋体"/>
          <w:b w:val="0"/>
          <w:bCs/>
          <w:color w:val="333333"/>
          <w:sz w:val="32"/>
          <w:szCs w:val="21"/>
        </w:rPr>
        <w:t>二、</w:t>
      </w:r>
      <w:r>
        <w:rPr>
          <w:rStyle w:val="7"/>
          <w:rFonts w:hint="eastAsia" w:ascii="Times New Roman" w:hAnsi="Times New Roman" w:eastAsia="黑体" w:cs="宋体"/>
          <w:b w:val="0"/>
          <w:bCs/>
          <w:color w:val="333333"/>
          <w:sz w:val="32"/>
          <w:szCs w:val="21"/>
          <w:lang w:eastAsia="zh-CN"/>
        </w:rPr>
        <w:t>单位</w:t>
      </w:r>
      <w:r>
        <w:rPr>
          <w:rStyle w:val="7"/>
          <w:rFonts w:hint="eastAsia" w:ascii="Times New Roman" w:hAnsi="Times New Roman" w:eastAsia="黑体" w:cs="宋体"/>
          <w:b w:val="0"/>
          <w:bCs/>
          <w:color w:val="333333"/>
          <w:sz w:val="32"/>
          <w:szCs w:val="21"/>
        </w:rPr>
        <w:t>预算单位构成</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乐山市奥林匹克学校系全额拨款事业单位，隶属于乐山职业技术学院。</w:t>
      </w: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outlineLvl w:val="0"/>
        <w:rPr>
          <w:rFonts w:hint="eastAsia" w:ascii="Times New Roman" w:hAnsi="Times New Roman" w:eastAsia="方正小标宋简体" w:cs="方正小标宋简体"/>
          <w:sz w:val="52"/>
          <w:szCs w:val="52"/>
          <w:lang w:eastAsia="zh-CN" w:bidi="ar"/>
        </w:rPr>
      </w:pPr>
      <w:r>
        <w:rPr>
          <w:rFonts w:hint="eastAsia" w:ascii="Times New Roman" w:hAnsi="Times New Roman" w:eastAsia="方正小标宋简体" w:cs="方正小标宋简体"/>
          <w:sz w:val="52"/>
          <w:szCs w:val="52"/>
          <w:lang w:bidi="ar"/>
        </w:rPr>
        <w:t xml:space="preserve">第二部分 </w:t>
      </w:r>
      <w:r>
        <w:rPr>
          <w:rFonts w:hint="eastAsia" w:ascii="Times New Roman" w:hAnsi="Times New Roman" w:eastAsia="方正小标宋简体" w:cs="方正小标宋简体"/>
          <w:sz w:val="52"/>
          <w:szCs w:val="52"/>
          <w:lang w:val="en-US" w:eastAsia="zh-CN" w:bidi="ar"/>
        </w:rPr>
        <w:t>乐山市奥林匹克学校</w:t>
      </w:r>
    </w:p>
    <w:p>
      <w:pPr>
        <w:pStyle w:val="4"/>
        <w:widowControl/>
        <w:spacing w:before="0" w:beforeAutospacing="0" w:after="0" w:afterAutospacing="0"/>
        <w:jc w:val="center"/>
        <w:outlineLvl w:val="1"/>
        <w:rPr>
          <w:rFonts w:hint="eastAsia" w:ascii="Times New Roman" w:hAnsi="Times New Roman" w:eastAsia="方正小标宋简体" w:cs="方正小标宋简体"/>
          <w:sz w:val="36"/>
          <w:szCs w:val="36"/>
          <w:lang w:bidi="ar"/>
        </w:rPr>
      </w:pPr>
      <w:r>
        <w:rPr>
          <w:rFonts w:hint="eastAsia" w:ascii="Times New Roman" w:hAnsi="Times New Roman" w:eastAsia="方正小标宋简体" w:cs="方正小标宋简体"/>
          <w:sz w:val="52"/>
          <w:szCs w:val="52"/>
          <w:lang w:bidi="ar"/>
        </w:rPr>
        <w:t>202</w:t>
      </w:r>
      <w:r>
        <w:rPr>
          <w:rFonts w:hint="eastAsia" w:ascii="Times New Roman" w:hAnsi="Times New Roman" w:eastAsia="方正小标宋简体" w:cs="方正小标宋简体"/>
          <w:sz w:val="52"/>
          <w:szCs w:val="52"/>
          <w:lang w:val="en-US" w:eastAsia="zh-CN" w:bidi="ar"/>
        </w:rPr>
        <w:t>4</w:t>
      </w:r>
      <w:r>
        <w:rPr>
          <w:rFonts w:hint="eastAsia" w:ascii="Times New Roman" w:hAnsi="Times New Roman" w:eastAsia="方正小标宋简体" w:cs="方正小标宋简体"/>
          <w:sz w:val="52"/>
          <w:szCs w:val="52"/>
          <w:lang w:bidi="ar"/>
        </w:rPr>
        <w:t>年</w:t>
      </w:r>
      <w:r>
        <w:rPr>
          <w:rFonts w:hint="eastAsia" w:ascii="Times New Roman" w:hAnsi="Times New Roman" w:eastAsia="方正小标宋简体" w:cs="方正小标宋简体"/>
          <w:sz w:val="52"/>
          <w:szCs w:val="52"/>
          <w:lang w:eastAsia="zh-CN" w:bidi="ar"/>
        </w:rPr>
        <w:t>单位</w:t>
      </w:r>
      <w:r>
        <w:rPr>
          <w:rFonts w:hint="eastAsia" w:ascii="Times New Roman" w:hAnsi="Times New Roman" w:eastAsia="方正小标宋简体" w:cs="方正小标宋简体"/>
          <w:sz w:val="52"/>
          <w:szCs w:val="52"/>
          <w:lang w:bidi="ar"/>
        </w:rPr>
        <w:t>预算表</w:t>
      </w:r>
    </w:p>
    <w:p>
      <w:pPr>
        <w:pStyle w:val="4"/>
        <w:widowControl/>
        <w:spacing w:before="450" w:beforeAutospacing="0" w:after="0" w:afterAutospacing="0" w:line="360" w:lineRule="atLeast"/>
        <w:ind w:left="420"/>
        <w:jc w:val="both"/>
        <w:rPr>
          <w:rFonts w:hint="eastAsia" w:ascii="Times New Roman" w:hAnsi="Times New Roman" w:eastAsia="仿宋_GB2312" w:cs="仿宋_GB2312"/>
          <w:color w:val="333333"/>
          <w:sz w:val="32"/>
          <w:szCs w:val="32"/>
        </w:rPr>
        <w:sectPr>
          <w:footerReference r:id="rId5" w:type="default"/>
          <w:pgSz w:w="11906" w:h="16838"/>
          <w:pgMar w:top="1440" w:right="1800" w:bottom="1440" w:left="1800" w:header="720" w:footer="720" w:gutter="0"/>
          <w:pgNumType w:fmt="numberInDash" w:start="1"/>
          <w:cols w:space="720" w:num="1"/>
          <w:docGrid w:type="lines" w:linePitch="312" w:charSpace="0"/>
        </w:sectPr>
      </w:pPr>
    </w:p>
    <w:p>
      <w:pPr>
        <w:pStyle w:val="4"/>
        <w:widowControl/>
        <w:spacing w:before="450" w:beforeAutospacing="0" w:after="0" w:afterAutospacing="0" w:line="360" w:lineRule="atLeast"/>
        <w:ind w:left="420"/>
        <w:jc w:val="both"/>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（插入本</w:t>
      </w:r>
      <w:r>
        <w:rPr>
          <w:rFonts w:hint="eastAsia" w:ascii="Times New Roman" w:hAnsi="Times New Roman" w:eastAsia="仿宋_GB2312" w:cs="仿宋_GB2312"/>
          <w:color w:val="333333"/>
          <w:sz w:val="32"/>
          <w:szCs w:val="32"/>
          <w:lang w:eastAsia="zh-CN"/>
        </w:rPr>
        <w:t>单位</w:t>
      </w:r>
      <w:r>
        <w:rPr>
          <w:rFonts w:hint="eastAsia" w:ascii="Times New Roman" w:hAnsi="Times New Roman" w:eastAsia="仿宋_GB2312" w:cs="仿宋_GB2312"/>
          <w:color w:val="333333"/>
          <w:sz w:val="32"/>
          <w:szCs w:val="32"/>
        </w:rPr>
        <w:t>预算公开表，由附件1-3依序组成）</w:t>
      </w:r>
    </w:p>
    <w:p>
      <w:pPr>
        <w:pStyle w:val="4"/>
        <w:widowControl/>
        <w:numPr>
          <w:ilvl w:val="0"/>
          <w:numId w:val="2"/>
        </w:numPr>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lang w:eastAsia="zh-CN"/>
        </w:rPr>
        <w:t>单位</w:t>
      </w:r>
      <w:r>
        <w:rPr>
          <w:rFonts w:hint="eastAsia" w:ascii="Times New Roman" w:hAnsi="Times New Roman" w:eastAsia="仿宋_GB2312" w:cs="仿宋_GB2312"/>
          <w:color w:val="333333"/>
          <w:sz w:val="32"/>
          <w:szCs w:val="32"/>
        </w:rPr>
        <w:t>收支总表（公开表1）</w:t>
      </w:r>
    </w:p>
    <w:tbl>
      <w:tblPr>
        <w:tblStyle w:val="5"/>
        <w:tblW w:w="8336" w:type="dxa"/>
        <w:tblInd w:w="0" w:type="dxa"/>
        <w:shd w:val="clear" w:color="auto" w:fill="auto"/>
        <w:tblLayout w:type="autofit"/>
        <w:tblCellMar>
          <w:top w:w="0" w:type="dxa"/>
          <w:left w:w="0" w:type="dxa"/>
          <w:bottom w:w="0" w:type="dxa"/>
          <w:right w:w="0" w:type="dxa"/>
        </w:tblCellMar>
      </w:tblPr>
      <w:tblGrid>
        <w:gridCol w:w="2200"/>
        <w:gridCol w:w="878"/>
        <w:gridCol w:w="2200"/>
        <w:gridCol w:w="3058"/>
      </w:tblGrid>
      <w:tr>
        <w:tblPrEx>
          <w:shd w:val="clear" w:color="auto" w:fill="auto"/>
          <w:tblCellMar>
            <w:top w:w="0" w:type="dxa"/>
            <w:left w:w="0" w:type="dxa"/>
            <w:bottom w:w="0" w:type="dxa"/>
            <w:right w:w="0" w:type="dxa"/>
          </w:tblCellMar>
        </w:tblPrEx>
        <w:trPr>
          <w:trHeight w:val="531" w:hRule="atLeast"/>
        </w:trPr>
        <w:tc>
          <w:tcPr>
            <w:tcW w:w="8336" w:type="dxa"/>
            <w:gridSpan w:val="4"/>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单位收支总表</w:t>
            </w:r>
          </w:p>
        </w:tc>
      </w:tr>
      <w:tr>
        <w:tblPrEx>
          <w:tblCellMar>
            <w:top w:w="0" w:type="dxa"/>
            <w:left w:w="0" w:type="dxa"/>
            <w:bottom w:w="0" w:type="dxa"/>
            <w:right w:w="0" w:type="dxa"/>
          </w:tblCellMar>
        </w:tblPrEx>
        <w:trPr>
          <w:trHeight w:val="339" w:hRule="atLeast"/>
        </w:trPr>
        <w:tc>
          <w:tcPr>
            <w:tcW w:w="2200"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单位：乐山市奥林匹克学校</w:t>
            </w:r>
          </w:p>
        </w:tc>
        <w:tc>
          <w:tcPr>
            <w:tcW w:w="87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00" w:type="dxa"/>
            <w:tcBorders>
              <w:top w:val="nil"/>
              <w:left w:val="nil"/>
              <w:bottom w:val="nil"/>
              <w:right w:val="nil"/>
            </w:tcBorders>
            <w:shd w:val="clear" w:color="auto" w:fill="auto"/>
            <w:tcMar>
              <w:top w:w="15" w:type="dxa"/>
              <w:left w:w="15" w:type="dxa"/>
              <w:right w:w="15" w:type="dxa"/>
            </w:tcMar>
            <w:vAlign w:val="center"/>
          </w:tcPr>
          <w:p>
            <w:pPr>
              <w:rPr>
                <w:rFonts w:hint="eastAsia" w:ascii="黑体" w:hAnsi="黑体" w:eastAsia="黑体" w:cs="黑体"/>
                <w:i w:val="0"/>
                <w:color w:val="000000"/>
                <w:sz w:val="18"/>
                <w:szCs w:val="18"/>
                <w:u w:val="none"/>
              </w:rPr>
            </w:pPr>
          </w:p>
        </w:tc>
        <w:tc>
          <w:tcPr>
            <w:tcW w:w="3058"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15" w:hRule="atLeast"/>
        </w:trPr>
        <w:tc>
          <w:tcPr>
            <w:tcW w:w="3078" w:type="dxa"/>
            <w:gridSpan w:val="2"/>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5258" w:type="dxa"/>
            <w:gridSpan w:val="2"/>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415" w:hRule="atLeast"/>
        </w:trPr>
        <w:tc>
          <w:tcPr>
            <w:tcW w:w="2200" w:type="dxa"/>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78" w:type="dxa"/>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2200" w:type="dxa"/>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3058" w:type="dxa"/>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 xml:space="preserve">一、一般公共预算拨款收入 </w:t>
            </w: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一、一般公共服务支出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 xml:space="preserve">二、政府性基金预算拨款收入 </w:t>
            </w: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二、外交支出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 xml:space="preserve">三、国有资本经营预算拨款收入 </w:t>
            </w: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三、国防支出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 xml:space="preserve">四、事业收入 </w:t>
            </w: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四、公共安全支出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 xml:space="preserve">五、事业单位经营收入 </w:t>
            </w: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五、教育支出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507.35</w:t>
            </w: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 xml:space="preserve">六、其他收入 </w:t>
            </w: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六、科学技术支出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七、文化旅游体育与传媒支出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八、社会保障和就业支出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九、社会保险基金支出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十、卫生健康支出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十一、节能环保支出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十二、城乡社区支出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十三、农林水支出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十四、交通运输支出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十五、资源勘探工业信息等支出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十六、商业服务业等支出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十七、金融支出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十八、援助其他地区支出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十九、自然资源海洋气象等支出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二十、住房保障支出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51.55</w:t>
            </w: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二十一、粮油物资储备支出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二十二、国有资本经营预算支出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二十三、灾害防治及应急管理支出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二十四、预备费</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二十五、其他支出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二十六、转移性支出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二十七、债务还本支出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二十八、债务付息支出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二十九、债务发行费用支出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三十、抗疫特别国债安排的支出</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Style w:val="15"/>
                <w:lang w:val="en-US" w:eastAsia="zh-CN" w:bidi="ar"/>
              </w:rPr>
              <w:t>本 年 收 入 合 计</w:t>
            </w: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684.50</w:t>
            </w: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Style w:val="15"/>
                <w:lang w:val="en-US" w:eastAsia="zh-CN" w:bidi="ar"/>
              </w:rPr>
              <w:t>本 年 支 出 合 计</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684.50</w:t>
            </w: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七、用事业基金弥补收支差额</w:t>
            </w: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三十一、事业单位结余分配 </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2"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八、上年结转</w:t>
            </w: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其中：转入事业基金</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1"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tcMar>
              <w:top w:w="15" w:type="dxa"/>
              <w:left w:w="15" w:type="dxa"/>
              <w:right w:w="15" w:type="dxa"/>
            </w:tcMar>
            <w:vAlign w:val="center"/>
          </w:tcPr>
          <w:p>
            <w:pPr>
              <w:rPr>
                <w:rFonts w:hint="eastAsia" w:ascii="Hiragino Sans GB" w:hAnsi="Hiragino Sans GB" w:eastAsia="Hiragino Sans GB" w:cs="Hiragino Sans GB"/>
                <w:i w:val="0"/>
                <w:color w:val="000000"/>
                <w:sz w:val="18"/>
                <w:szCs w:val="18"/>
                <w:u w:val="none"/>
              </w:rPr>
            </w:pPr>
          </w:p>
        </w:tc>
        <w:tc>
          <w:tcPr>
            <w:tcW w:w="878" w:type="dxa"/>
            <w:tcBorders>
              <w:top w:val="single" w:color="C0C0C0" w:sz="4" w:space="0"/>
              <w:left w:val="single" w:color="C0C0C0" w:sz="4" w:space="0"/>
              <w:bottom w:val="single" w:color="C0C0C0" w:sz="4" w:space="0"/>
              <w:right w:val="single" w:color="C0C0C0" w:sz="4" w:space="0"/>
            </w:tcBorders>
            <w:shd w:val="clear" w:color="auto" w:fill="auto"/>
            <w:tcMar>
              <w:top w:w="15" w:type="dxa"/>
              <w:left w:w="15" w:type="dxa"/>
              <w:right w:w="15" w:type="dxa"/>
            </w:tcMar>
            <w:vAlign w:val="center"/>
          </w:tcPr>
          <w:p>
            <w:pPr>
              <w:rPr>
                <w:rFonts w:hint="default" w:ascii="Hiragino Sans GB" w:hAnsi="Hiragino Sans GB" w:eastAsia="Hiragino Sans GB" w:cs="Hiragino Sans GB"/>
                <w:i w:val="0"/>
                <w:color w:val="000000"/>
                <w:sz w:val="18"/>
                <w:szCs w:val="18"/>
                <w:u w:val="none"/>
              </w:rPr>
            </w:pP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三十二、结转下年</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8" w:hRule="atLeast"/>
        </w:trPr>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  总  计</w:t>
            </w:r>
          </w:p>
        </w:tc>
        <w:tc>
          <w:tcPr>
            <w:tcW w:w="87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684.50</w:t>
            </w:r>
          </w:p>
        </w:tc>
        <w:tc>
          <w:tcPr>
            <w:tcW w:w="2200"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  总  计</w:t>
            </w:r>
          </w:p>
        </w:tc>
        <w:tc>
          <w:tcPr>
            <w:tcW w:w="3058" w:type="dxa"/>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684.50</w:t>
            </w:r>
          </w:p>
        </w:tc>
      </w:tr>
    </w:tbl>
    <w:p>
      <w:pPr>
        <w:pStyle w:val="4"/>
        <w:widowControl/>
        <w:numPr>
          <w:ilvl w:val="0"/>
          <w:numId w:val="0"/>
        </w:numPr>
        <w:spacing w:before="0" w:beforeAutospacing="0" w:after="0" w:afterAutospacing="0" w:line="600" w:lineRule="exact"/>
        <w:ind w:right="0" w:rightChars="0"/>
        <w:jc w:val="both"/>
        <w:outlineLvl w:val="1"/>
        <w:rPr>
          <w:rFonts w:hint="eastAsia" w:ascii="Times New Roman" w:hAnsi="Times New Roman" w:eastAsia="仿宋_GB2312" w:cs="仿宋_GB2312"/>
          <w:color w:val="333333"/>
          <w:sz w:val="32"/>
          <w:szCs w:val="32"/>
        </w:rPr>
      </w:pPr>
    </w:p>
    <w:p>
      <w:pPr>
        <w:pStyle w:val="4"/>
        <w:widowControl/>
        <w:numPr>
          <w:ilvl w:val="0"/>
          <w:numId w:val="2"/>
        </w:numPr>
        <w:spacing w:before="0" w:beforeAutospacing="0" w:after="0" w:afterAutospacing="0" w:line="600" w:lineRule="exact"/>
        <w:ind w:left="0" w:leftChars="0"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lang w:eastAsia="zh-CN"/>
        </w:rPr>
        <w:t>单位</w:t>
      </w:r>
      <w:r>
        <w:rPr>
          <w:rFonts w:hint="eastAsia" w:ascii="Times New Roman" w:hAnsi="Times New Roman" w:eastAsia="仿宋_GB2312" w:cs="仿宋_GB2312"/>
          <w:color w:val="333333"/>
          <w:sz w:val="32"/>
          <w:szCs w:val="32"/>
        </w:rPr>
        <w:t>收入总表（公开表1-1）</w:t>
      </w:r>
    </w:p>
    <w:tbl>
      <w:tblPr>
        <w:tblStyle w:val="5"/>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777"/>
        <w:gridCol w:w="447"/>
        <w:gridCol w:w="1582"/>
        <w:gridCol w:w="623"/>
        <w:gridCol w:w="623"/>
        <w:gridCol w:w="623"/>
        <w:gridCol w:w="623"/>
        <w:gridCol w:w="623"/>
        <w:gridCol w:w="623"/>
        <w:gridCol w:w="623"/>
        <w:gridCol w:w="623"/>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9060" w:type="dxa"/>
            <w:gridSpan w:val="13"/>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419"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单位：乐山市奥林匹克学校</w:t>
            </w:r>
          </w:p>
        </w:tc>
        <w:tc>
          <w:tcPr>
            <w:tcW w:w="447"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582"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2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3"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2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8"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419"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44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8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一般公共预算拨款收入</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政府性基金预算拨款收入</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国有资本经营预算拨款收入</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事业单位经营收入 </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62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用事业基金弥补收支差额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4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77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44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58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4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4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58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62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7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44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158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4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777"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乐山市奥林匹克学校</w:t>
            </w:r>
          </w:p>
        </w:tc>
        <w:tc>
          <w:tcPr>
            <w:tcW w:w="44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158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62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r>
    </w:tbl>
    <w:p>
      <w:pPr>
        <w:pStyle w:val="4"/>
        <w:widowControl/>
        <w:numPr>
          <w:ilvl w:val="0"/>
          <w:numId w:val="2"/>
        </w:numPr>
        <w:spacing w:before="0" w:beforeAutospacing="0" w:after="0" w:afterAutospacing="0" w:line="600" w:lineRule="exact"/>
        <w:ind w:left="0" w:leftChars="0"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lang w:eastAsia="zh-CN"/>
        </w:rPr>
        <w:t>单位</w:t>
      </w:r>
      <w:r>
        <w:rPr>
          <w:rFonts w:hint="eastAsia" w:ascii="Times New Roman" w:hAnsi="Times New Roman" w:eastAsia="仿宋_GB2312" w:cs="仿宋_GB2312"/>
          <w:color w:val="333333"/>
          <w:sz w:val="32"/>
          <w:szCs w:val="32"/>
        </w:rPr>
        <w:t>支出总表（公开表1-2）</w:t>
      </w:r>
    </w:p>
    <w:tbl>
      <w:tblPr>
        <w:tblStyle w:val="5"/>
        <w:tblW w:w="8940" w:type="dxa"/>
        <w:tblInd w:w="0" w:type="dxa"/>
        <w:shd w:val="clear" w:color="auto" w:fill="auto"/>
        <w:tblLayout w:type="fixed"/>
        <w:tblCellMar>
          <w:top w:w="0" w:type="dxa"/>
          <w:left w:w="0" w:type="dxa"/>
          <w:bottom w:w="0" w:type="dxa"/>
          <w:right w:w="0" w:type="dxa"/>
        </w:tblCellMar>
      </w:tblPr>
      <w:tblGrid>
        <w:gridCol w:w="316"/>
        <w:gridCol w:w="223"/>
        <w:gridCol w:w="224"/>
        <w:gridCol w:w="597"/>
        <w:gridCol w:w="1370"/>
        <w:gridCol w:w="965"/>
        <w:gridCol w:w="1256"/>
        <w:gridCol w:w="1083"/>
        <w:gridCol w:w="973"/>
        <w:gridCol w:w="1933"/>
      </w:tblGrid>
      <w:tr>
        <w:tblPrEx>
          <w:shd w:val="clear" w:color="auto" w:fill="auto"/>
          <w:tblCellMar>
            <w:top w:w="0" w:type="dxa"/>
            <w:left w:w="0" w:type="dxa"/>
            <w:bottom w:w="0" w:type="dxa"/>
            <w:right w:w="0" w:type="dxa"/>
          </w:tblCellMar>
        </w:tblPrEx>
        <w:trPr>
          <w:trHeight w:val="715" w:hRule="atLeast"/>
        </w:trPr>
        <w:tc>
          <w:tcPr>
            <w:tcW w:w="8940" w:type="dxa"/>
            <w:gridSpan w:val="10"/>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单位支出总表</w:t>
            </w:r>
          </w:p>
        </w:tc>
      </w:tr>
      <w:tr>
        <w:tblPrEx>
          <w:tblCellMar>
            <w:top w:w="0" w:type="dxa"/>
            <w:left w:w="0" w:type="dxa"/>
            <w:bottom w:w="0" w:type="dxa"/>
            <w:right w:w="0" w:type="dxa"/>
          </w:tblCellMar>
        </w:tblPrEx>
        <w:trPr>
          <w:trHeight w:val="474" w:hRule="atLeast"/>
        </w:trPr>
        <w:tc>
          <w:tcPr>
            <w:tcW w:w="2730" w:type="dxa"/>
            <w:gridSpan w:val="5"/>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单位：乐山市奥林匹克学校</w:t>
            </w:r>
          </w:p>
        </w:tc>
        <w:tc>
          <w:tcPr>
            <w:tcW w:w="965"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tc>
        <w:tc>
          <w:tcPr>
            <w:tcW w:w="1256"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tc>
        <w:tc>
          <w:tcPr>
            <w:tcW w:w="1083"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tc>
        <w:tc>
          <w:tcPr>
            <w:tcW w:w="973"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tc>
        <w:tc>
          <w:tcPr>
            <w:tcW w:w="1933"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575" w:hRule="atLeast"/>
        </w:trPr>
        <w:tc>
          <w:tcPr>
            <w:tcW w:w="2730" w:type="dxa"/>
            <w:gridSpan w:val="5"/>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65"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合计</w:t>
            </w:r>
          </w:p>
        </w:tc>
        <w:tc>
          <w:tcPr>
            <w:tcW w:w="1256"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基本支出</w:t>
            </w:r>
          </w:p>
        </w:tc>
        <w:tc>
          <w:tcPr>
            <w:tcW w:w="1083"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项目支出</w:t>
            </w:r>
          </w:p>
        </w:tc>
        <w:tc>
          <w:tcPr>
            <w:tcW w:w="973"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上缴上级支出</w:t>
            </w:r>
          </w:p>
        </w:tc>
        <w:tc>
          <w:tcPr>
            <w:tcW w:w="1933"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660" w:hRule="atLeast"/>
        </w:trPr>
        <w:tc>
          <w:tcPr>
            <w:tcW w:w="763" w:type="dxa"/>
            <w:gridSpan w:val="3"/>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597"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单位代码</w:t>
            </w:r>
          </w:p>
        </w:tc>
        <w:tc>
          <w:tcPr>
            <w:tcW w:w="1370"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65"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pPr>
          </w:p>
        </w:tc>
        <w:tc>
          <w:tcPr>
            <w:tcW w:w="1256"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pPr>
          </w:p>
        </w:tc>
        <w:tc>
          <w:tcPr>
            <w:tcW w:w="1083"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73"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pPr>
          </w:p>
        </w:tc>
        <w:tc>
          <w:tcPr>
            <w:tcW w:w="1933"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575" w:hRule="atLeast"/>
        </w:trPr>
        <w:tc>
          <w:tcPr>
            <w:tcW w:w="316" w:type="dxa"/>
            <w:tcBorders>
              <w:top w:val="single" w:color="C2C3C4" w:sz="4" w:space="0"/>
              <w:left w:val="single" w:color="C2C3C4" w:sz="4" w:space="0"/>
              <w:bottom w:val="nil"/>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23" w:type="dxa"/>
            <w:tcBorders>
              <w:top w:val="single" w:color="C2C3C4" w:sz="4" w:space="0"/>
              <w:left w:val="single" w:color="C2C3C4" w:sz="4" w:space="0"/>
              <w:bottom w:val="nil"/>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款</w:t>
            </w:r>
          </w:p>
        </w:tc>
        <w:tc>
          <w:tcPr>
            <w:tcW w:w="224" w:type="dxa"/>
            <w:tcBorders>
              <w:top w:val="single" w:color="C2C3C4" w:sz="4" w:space="0"/>
              <w:left w:val="single" w:color="C2C3C4" w:sz="4" w:space="0"/>
              <w:bottom w:val="nil"/>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项</w:t>
            </w:r>
          </w:p>
        </w:tc>
        <w:tc>
          <w:tcPr>
            <w:tcW w:w="597" w:type="dxa"/>
            <w:vMerge w:val="continue"/>
            <w:tcBorders>
              <w:top w:val="single" w:color="C2C3C4" w:sz="4" w:space="0"/>
              <w:left w:val="single" w:color="C2C3C4" w:sz="4" w:space="0"/>
              <w:bottom w:val="nil"/>
              <w:right w:val="single" w:color="C2C3C4" w:sz="4" w:space="0"/>
            </w:tcBorders>
            <w:shd w:val="clear" w:color="EFF2F7" w:fill="EFF2F7"/>
            <w:noWrap/>
            <w:tcMar>
              <w:top w:w="15" w:type="dxa"/>
              <w:left w:w="15" w:type="dxa"/>
              <w:right w:w="15" w:type="dxa"/>
            </w:tcMar>
            <w:vAlign w:val="center"/>
          </w:tcPr>
          <w:p>
            <w:pPr>
              <w:jc w:val="center"/>
            </w:pPr>
          </w:p>
        </w:tc>
        <w:tc>
          <w:tcPr>
            <w:tcW w:w="1370" w:type="dxa"/>
            <w:vMerge w:val="continue"/>
            <w:tcBorders>
              <w:top w:val="single" w:color="C2C3C4" w:sz="4" w:space="0"/>
              <w:left w:val="single" w:color="C2C3C4" w:sz="4" w:space="0"/>
              <w:bottom w:val="nil"/>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65"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6"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pPr>
          </w:p>
        </w:tc>
        <w:tc>
          <w:tcPr>
            <w:tcW w:w="1083"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73"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pPr>
          </w:p>
        </w:tc>
        <w:tc>
          <w:tcPr>
            <w:tcW w:w="1933"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60" w:hRule="atLeast"/>
        </w:trPr>
        <w:tc>
          <w:tcPr>
            <w:tcW w:w="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c>
          <w:tcPr>
            <w:tcW w:w="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646.70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60" w:hRule="atLeast"/>
        </w:trPr>
        <w:tc>
          <w:tcPr>
            <w:tcW w:w="31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23"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pPr>
          </w:p>
        </w:tc>
        <w:tc>
          <w:tcPr>
            <w:tcW w:w="224"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pPr>
          </w:p>
        </w:tc>
        <w:tc>
          <w:tcPr>
            <w:tcW w:w="137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乐山市奥林匹克学校</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646.70</w:t>
            </w:r>
          </w:p>
        </w:tc>
        <w:tc>
          <w:tcPr>
            <w:tcW w:w="1083"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w:t>
            </w:r>
          </w:p>
        </w:tc>
        <w:tc>
          <w:tcPr>
            <w:tcW w:w="973"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right"/>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7" w:hRule="atLeast"/>
        </w:trPr>
        <w:tc>
          <w:tcPr>
            <w:tcW w:w="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02</w:t>
            </w:r>
          </w:p>
        </w:tc>
        <w:tc>
          <w:tcPr>
            <w:tcW w:w="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03</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323303</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初中教育</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507.35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469.55</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5" w:hRule="atLeast"/>
        </w:trPr>
        <w:tc>
          <w:tcPr>
            <w:tcW w:w="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05</w:t>
            </w:r>
          </w:p>
        </w:tc>
        <w:tc>
          <w:tcPr>
            <w:tcW w:w="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05</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323303</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64.48</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5" w:hRule="atLeast"/>
        </w:trPr>
        <w:tc>
          <w:tcPr>
            <w:tcW w:w="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05</w:t>
            </w:r>
          </w:p>
        </w:tc>
        <w:tc>
          <w:tcPr>
            <w:tcW w:w="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06</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323303</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机关事业单位职业年金缴费支出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32.24</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99</w:t>
            </w:r>
          </w:p>
        </w:tc>
        <w:tc>
          <w:tcPr>
            <w:tcW w:w="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99</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323303</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其他社会保障和就业支出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8.28</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0" w:hRule="atLeast"/>
        </w:trPr>
        <w:tc>
          <w:tcPr>
            <w:tcW w:w="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w:t>
            </w:r>
          </w:p>
        </w:tc>
        <w:tc>
          <w:tcPr>
            <w:tcW w:w="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02</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323303</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事业单位医疗</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20.60</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4"/>
        <w:widowControl/>
        <w:numPr>
          <w:ilvl w:val="0"/>
          <w:numId w:val="0"/>
        </w:numPr>
        <w:spacing w:before="0" w:beforeAutospacing="0" w:after="0" w:afterAutospacing="0" w:line="600" w:lineRule="exact"/>
        <w:ind w:right="0" w:rightChars="0"/>
        <w:jc w:val="both"/>
        <w:outlineLvl w:val="1"/>
        <w:rPr>
          <w:rFonts w:hint="eastAsia" w:ascii="Times New Roman" w:hAnsi="Times New Roman" w:eastAsia="仿宋_GB2312" w:cs="仿宋_GB2312"/>
          <w:color w:val="333333"/>
          <w:sz w:val="32"/>
          <w:szCs w:val="32"/>
        </w:rPr>
      </w:pPr>
    </w:p>
    <w:p>
      <w:pPr>
        <w:pStyle w:val="4"/>
        <w:widowControl/>
        <w:numPr>
          <w:ilvl w:val="0"/>
          <w:numId w:val="0"/>
        </w:numPr>
        <w:spacing w:before="0" w:beforeAutospacing="0" w:after="0" w:afterAutospacing="0" w:line="600" w:lineRule="exact"/>
        <w:ind w:right="0" w:rightChars="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财政拨</w:t>
      </w:r>
    </w:p>
    <w:tbl>
      <w:tblPr>
        <w:tblStyle w:val="5"/>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9"/>
        <w:gridCol w:w="644"/>
        <w:gridCol w:w="1524"/>
        <w:gridCol w:w="2111"/>
        <w:gridCol w:w="1189"/>
        <w:gridCol w:w="1264"/>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9120"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财政拨款收支预算总表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683"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单位：乐山市奥林匹克学校</w:t>
            </w:r>
          </w:p>
        </w:tc>
        <w:tc>
          <w:tcPr>
            <w:tcW w:w="152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11"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89"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49"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83"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7437" w:type="dxa"/>
            <w:gridSpan w:val="5"/>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44"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1524"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111"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89"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264"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349"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152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一般公共预算拨款收入</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一般公共服务支出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政府性基金预算拨款收入</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外交支出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国有资本经营预算拨款收入</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国防支出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一、上年结转</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公共安全支出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一般公共预算拨款收入</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教育支出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507.35</w:t>
            </w: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507.35</w:t>
            </w: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政府性基金预算拨款收入</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科学技术支出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国有资本经营预算拨款收入</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文化旅游体育与传媒支出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社会保障和就业支出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社会保险基金支出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卫生健康支出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节能环保支出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城乡社区支出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农林水支出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交通运输支出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资源勘探工业信息等支出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商业服务业等支出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金融支出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援助其他地区支出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自然资源海洋气象等支出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住房保障支出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51.55</w:t>
            </w: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51.55</w:t>
            </w: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粮油物资储备支出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灾害防治及应急管理支出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债务还本支出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债务付息支出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债务发行费用支出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39"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4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2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抗疫特别国债安排的支出</w:t>
            </w:r>
          </w:p>
        </w:tc>
        <w:tc>
          <w:tcPr>
            <w:tcW w:w="211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4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pStyle w:val="4"/>
        <w:widowControl/>
        <w:numPr>
          <w:ilvl w:val="0"/>
          <w:numId w:val="0"/>
        </w:numPr>
        <w:spacing w:before="0" w:beforeAutospacing="0" w:after="0" w:afterAutospacing="0" w:line="600" w:lineRule="exact"/>
        <w:ind w:right="0" w:rightChars="0"/>
        <w:jc w:val="both"/>
        <w:outlineLvl w:val="1"/>
        <w:rPr>
          <w:rFonts w:hint="eastAsia" w:ascii="Times New Roman" w:hAnsi="Times New Roman" w:eastAsia="仿宋_GB2312" w:cs="仿宋_GB2312"/>
          <w:color w:val="333333"/>
          <w:sz w:val="32"/>
          <w:szCs w:val="32"/>
        </w:rPr>
      </w:pP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五、财政拨款支出预算表（</w:t>
      </w:r>
      <w:r>
        <w:rPr>
          <w:rFonts w:hint="eastAsia" w:ascii="Times New Roman" w:hAnsi="Times New Roman" w:eastAsia="仿宋_GB2312" w:cs="仿宋_GB2312"/>
          <w:color w:val="333333"/>
          <w:sz w:val="32"/>
          <w:szCs w:val="32"/>
          <w:lang w:eastAsia="zh-CN"/>
        </w:rPr>
        <w:t>单位</w:t>
      </w:r>
      <w:r>
        <w:rPr>
          <w:rFonts w:hint="eastAsia" w:ascii="Times New Roman" w:hAnsi="Times New Roman" w:eastAsia="仿宋_GB2312" w:cs="仿宋_GB2312"/>
          <w:color w:val="333333"/>
          <w:sz w:val="32"/>
          <w:szCs w:val="32"/>
        </w:rPr>
        <w:t>经济分类科目）（公开</w:t>
      </w:r>
    </w:p>
    <w:tbl>
      <w:tblPr>
        <w:tblStyle w:val="5"/>
        <w:tblW w:w="10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413"/>
        <w:gridCol w:w="531"/>
        <w:gridCol w:w="1375"/>
        <w:gridCol w:w="682"/>
        <w:gridCol w:w="643"/>
        <w:gridCol w:w="1860"/>
        <w:gridCol w:w="894"/>
        <w:gridCol w:w="860"/>
        <w:gridCol w:w="612"/>
        <w:gridCol w:w="850"/>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10080" w:type="dxa"/>
            <w:gridSpan w:val="12"/>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803" w:type="dxa"/>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单位：乐山市奥林匹克学校</w:t>
            </w:r>
          </w:p>
        </w:tc>
        <w:tc>
          <w:tcPr>
            <w:tcW w:w="68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3"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60" w:type="dxa"/>
            <w:tcBorders>
              <w:top w:val="single" w:color="FFFFFF" w:sz="4" w:space="0"/>
              <w:left w:val="single" w:color="FFFFFF" w:sz="4" w:space="0"/>
              <w:bottom w:val="nil"/>
              <w:right w:val="single" w:color="FFFFFF"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9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5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6"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803" w:type="dxa"/>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82"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95" w:type="dxa"/>
            <w:gridSpan w:val="7"/>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省级当年财政拨款安排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97"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531"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375"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82"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22"/>
                <w:szCs w:val="22"/>
                <w:u w:val="none"/>
              </w:rPr>
            </w:pPr>
          </w:p>
        </w:tc>
        <w:tc>
          <w:tcPr>
            <w:tcW w:w="643"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14" w:type="dxa"/>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2338" w:type="dxa"/>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4"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13"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31"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22"/>
                <w:szCs w:val="22"/>
                <w:u w:val="none"/>
              </w:rPr>
            </w:pPr>
          </w:p>
        </w:tc>
        <w:tc>
          <w:tcPr>
            <w:tcW w:w="1375"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22"/>
                <w:szCs w:val="22"/>
                <w:u w:val="none"/>
              </w:rPr>
            </w:pPr>
          </w:p>
        </w:tc>
        <w:tc>
          <w:tcPr>
            <w:tcW w:w="682"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22"/>
                <w:szCs w:val="22"/>
                <w:u w:val="none"/>
              </w:rPr>
            </w:pPr>
          </w:p>
        </w:tc>
        <w:tc>
          <w:tcPr>
            <w:tcW w:w="643"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22"/>
                <w:szCs w:val="22"/>
                <w:u w:val="none"/>
              </w:rPr>
            </w:pPr>
          </w:p>
        </w:tc>
        <w:tc>
          <w:tcPr>
            <w:tcW w:w="1860"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94"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60"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12"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50"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76"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1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7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646.70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w:t>
            </w: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乐山市奥林匹克学校</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646.70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w:t>
            </w: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工资福利支出</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617.97</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617.97</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617.97</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580.17</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w:t>
            </w: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201.67</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201.67</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201.67</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201.67</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02</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津贴补贴</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02</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地方津贴补贴</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07</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绩效工资</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118.27</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118.27</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118.27</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118.27</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07</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基础性绩效工资</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07</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奖励性绩效工资</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43.27</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43.27</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43.27</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43.27</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08</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09</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职业年金缴费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10</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职工基本医疗保险缴费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12</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其他社会保障缴费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12</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工伤保险</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12</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失业保险</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12</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残疾人就业保障金</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13</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51.55</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51.55</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51.55</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51.55</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其他工资福利支出</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115.02</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115.02</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115.02</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77.22</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w:t>
            </w: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事业平时绩效工资</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77.22</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77.22</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77.22</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77.22</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其他工资福利支出</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w:t>
            </w: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商品和服务支出</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66.53</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66.53</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66.53</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66.53</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办公费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日常办公用品</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书报杂志</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05</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水费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05</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办公卫生用水</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05</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饮用水</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05</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其他水费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06</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电费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06</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办公用电费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07</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邮电费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07</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网络通讯费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差旅费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差旅城市间交通费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差旅住宿费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差旅伙食补助费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差旅公杂费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13</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维修（护）费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13</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办公设备维修（护）费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13</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零星维修（护）费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26</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劳务费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26</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其他劳务费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28</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工会经费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28</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工会经费（比例）</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28</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工会经费（补充）</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29</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福利费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公务用车运行维护费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燃料费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维修费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过路过桥费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31</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保险费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其他商品和服务支出</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离退休人员活动费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8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41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53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323303</w:t>
            </w:r>
          </w:p>
        </w:tc>
        <w:tc>
          <w:tcPr>
            <w:tcW w:w="137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午餐补助费</w:t>
            </w:r>
          </w:p>
        </w:tc>
        <w:tc>
          <w:tcPr>
            <w:tcW w:w="68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w:t>
            </w:r>
          </w:p>
        </w:tc>
        <w:tc>
          <w:tcPr>
            <w:tcW w:w="64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w:t>
            </w:r>
          </w:p>
        </w:tc>
        <w:tc>
          <w:tcPr>
            <w:tcW w:w="1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w:t>
            </w:r>
          </w:p>
        </w:tc>
        <w:tc>
          <w:tcPr>
            <w:tcW w:w="89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w:t>
            </w:r>
          </w:p>
        </w:tc>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1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pStyle w:val="4"/>
        <w:widowControl/>
        <w:spacing w:before="0" w:beforeAutospacing="0" w:after="0" w:afterAutospacing="0" w:line="600" w:lineRule="exact"/>
        <w:ind w:firstLine="1280" w:firstLineChars="4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line="600" w:lineRule="exact"/>
        <w:jc w:val="both"/>
        <w:rPr>
          <w:rFonts w:hint="eastAsia" w:ascii="Times New Roman" w:hAnsi="Times New Roman" w:eastAsia="仿宋_GB2312" w:cs="仿宋_GB2312"/>
          <w:color w:val="333333"/>
          <w:sz w:val="32"/>
          <w:szCs w:val="32"/>
        </w:rPr>
      </w:pPr>
    </w:p>
    <w:p>
      <w:pPr>
        <w:pStyle w:val="4"/>
        <w:widowControl/>
        <w:numPr>
          <w:ilvl w:val="0"/>
          <w:numId w:val="2"/>
        </w:numPr>
        <w:spacing w:before="0" w:beforeAutospacing="0" w:after="0" w:afterAutospacing="0" w:line="600" w:lineRule="exact"/>
        <w:ind w:left="0" w:leftChars="0"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一般公共预算支出预算表（公开表3）</w:t>
      </w:r>
    </w:p>
    <w:tbl>
      <w:tblPr>
        <w:tblStyle w:val="5"/>
        <w:tblW w:w="10155" w:type="dxa"/>
        <w:tblInd w:w="0" w:type="dxa"/>
        <w:shd w:val="clear" w:color="auto" w:fill="auto"/>
        <w:tblLayout w:type="fixed"/>
        <w:tblCellMar>
          <w:top w:w="0" w:type="dxa"/>
          <w:left w:w="0" w:type="dxa"/>
          <w:bottom w:w="0" w:type="dxa"/>
          <w:right w:w="0" w:type="dxa"/>
        </w:tblCellMar>
      </w:tblPr>
      <w:tblGrid>
        <w:gridCol w:w="360"/>
        <w:gridCol w:w="251"/>
        <w:gridCol w:w="251"/>
        <w:gridCol w:w="360"/>
        <w:gridCol w:w="2063"/>
        <w:gridCol w:w="1293"/>
        <w:gridCol w:w="1250"/>
        <w:gridCol w:w="4327"/>
      </w:tblGrid>
      <w:tr>
        <w:tblPrEx>
          <w:shd w:val="clear" w:color="auto" w:fill="auto"/>
          <w:tblCellMar>
            <w:top w:w="0" w:type="dxa"/>
            <w:left w:w="0" w:type="dxa"/>
            <w:bottom w:w="0" w:type="dxa"/>
            <w:right w:w="0" w:type="dxa"/>
          </w:tblCellMar>
        </w:tblPrEx>
        <w:trPr>
          <w:trHeight w:val="653" w:hRule="atLeast"/>
        </w:trPr>
        <w:tc>
          <w:tcPr>
            <w:tcW w:w="10155" w:type="dxa"/>
            <w:gridSpan w:val="8"/>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一般公共预算支出预算表</w:t>
            </w:r>
          </w:p>
        </w:tc>
      </w:tr>
      <w:tr>
        <w:tblPrEx>
          <w:tblCellMar>
            <w:top w:w="0" w:type="dxa"/>
            <w:left w:w="0" w:type="dxa"/>
            <w:bottom w:w="0" w:type="dxa"/>
            <w:right w:w="0" w:type="dxa"/>
          </w:tblCellMar>
        </w:tblPrEx>
        <w:trPr>
          <w:trHeight w:val="427" w:hRule="atLeast"/>
        </w:trPr>
        <w:tc>
          <w:tcPr>
            <w:tcW w:w="3285" w:type="dxa"/>
            <w:gridSpan w:val="5"/>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单位：乐山市奥林匹克学校</w:t>
            </w:r>
          </w:p>
        </w:tc>
        <w:tc>
          <w:tcPr>
            <w:tcW w:w="1293"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tc>
        <w:tc>
          <w:tcPr>
            <w:tcW w:w="1250"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tc>
        <w:tc>
          <w:tcPr>
            <w:tcW w:w="4327"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522" w:hRule="atLeast"/>
        </w:trPr>
        <w:tc>
          <w:tcPr>
            <w:tcW w:w="3285" w:type="dxa"/>
            <w:gridSpan w:val="5"/>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合计</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4327" w:type="dxa"/>
            <w:vMerge w:val="restart"/>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tblPrEx>
          <w:tblCellMar>
            <w:top w:w="0" w:type="dxa"/>
            <w:left w:w="0" w:type="dxa"/>
            <w:bottom w:w="0" w:type="dxa"/>
            <w:right w:w="0" w:type="dxa"/>
          </w:tblCellMar>
        </w:tblPrEx>
        <w:trPr>
          <w:trHeight w:val="641" w:hRule="atLeast"/>
        </w:trPr>
        <w:tc>
          <w:tcPr>
            <w:tcW w:w="862" w:type="dxa"/>
            <w:gridSpan w:val="3"/>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单位代码</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pPr>
          </w:p>
        </w:tc>
        <w:tc>
          <w:tcPr>
            <w:tcW w:w="4327" w:type="dxa"/>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16" w:hRule="atLeast"/>
        </w:trPr>
        <w:tc>
          <w:tcPr>
            <w:tcW w:w="360" w:type="dxa"/>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51" w:type="dxa"/>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款</w:t>
            </w:r>
          </w:p>
        </w:tc>
        <w:tc>
          <w:tcPr>
            <w:tcW w:w="251" w:type="dxa"/>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项</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pPr>
          </w:p>
        </w:tc>
        <w:tc>
          <w:tcPr>
            <w:tcW w:w="4327" w:type="dxa"/>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59"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c>
          <w:tcPr>
            <w:tcW w:w="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684.50</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59" w:hRule="atLeast"/>
        </w:trPr>
        <w:tc>
          <w:tcPr>
            <w:tcW w:w="36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1"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pPr>
          </w:p>
        </w:tc>
        <w:tc>
          <w:tcPr>
            <w:tcW w:w="251"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pPr>
          </w:p>
        </w:tc>
        <w:tc>
          <w:tcPr>
            <w:tcW w:w="36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pPr>
          </w:p>
        </w:tc>
        <w:tc>
          <w:tcPr>
            <w:tcW w:w="2063"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乐山市奥林匹克学校</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684.50</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684.50</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59"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02</w:t>
            </w:r>
          </w:p>
        </w:tc>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03</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323</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初中教育</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507.35</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507.35</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05</w:t>
            </w:r>
          </w:p>
        </w:tc>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05</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323</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机关事业单位基本养老保险缴费支出</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64.48</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05</w:t>
            </w:r>
          </w:p>
        </w:tc>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06</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323</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机关事业单位职业年金缴费支出</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32.24</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99</w:t>
            </w:r>
          </w:p>
        </w:tc>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99</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323</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其他社会保障和就业支出</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8.28</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78"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w:t>
            </w:r>
          </w:p>
        </w:tc>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02</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323</w:t>
            </w:r>
          </w:p>
        </w:tc>
        <w:tc>
          <w:tcPr>
            <w:tcW w:w="2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事业单位医疗</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20.60</w:t>
            </w:r>
          </w:p>
        </w:tc>
        <w:tc>
          <w:tcPr>
            <w:tcW w:w="4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4"/>
        <w:widowControl/>
        <w:numPr>
          <w:ilvl w:val="0"/>
          <w:numId w:val="0"/>
        </w:numPr>
        <w:spacing w:before="0" w:beforeAutospacing="0" w:after="0" w:afterAutospacing="0" w:line="600" w:lineRule="exact"/>
        <w:ind w:leftChars="200" w:right="0" w:rightChars="0"/>
        <w:jc w:val="both"/>
        <w:outlineLvl w:val="1"/>
        <w:rPr>
          <w:rFonts w:hint="eastAsia" w:ascii="Times New Roman" w:hAnsi="Times New Roman" w:eastAsia="仿宋_GB2312" w:cs="仿宋_GB2312"/>
          <w:color w:val="333333"/>
          <w:sz w:val="32"/>
          <w:szCs w:val="32"/>
        </w:rPr>
      </w:pPr>
    </w:p>
    <w:p>
      <w:pPr>
        <w:pStyle w:val="4"/>
        <w:widowControl/>
        <w:numPr>
          <w:ilvl w:val="0"/>
          <w:numId w:val="2"/>
        </w:numPr>
        <w:spacing w:before="0" w:beforeAutospacing="0" w:after="0" w:afterAutospacing="0" w:line="600" w:lineRule="exact"/>
        <w:ind w:left="0" w:leftChars="0"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一般公共预算基本支出预算表（公开表3-1）</w:t>
      </w:r>
    </w:p>
    <w:tbl>
      <w:tblPr>
        <w:tblStyle w:val="5"/>
        <w:tblW w:w="8336" w:type="dxa"/>
        <w:tblInd w:w="0" w:type="dxa"/>
        <w:shd w:val="clear" w:color="auto" w:fill="auto"/>
        <w:tblLayout w:type="fixed"/>
        <w:tblCellMar>
          <w:top w:w="0" w:type="dxa"/>
          <w:left w:w="0" w:type="dxa"/>
          <w:bottom w:w="0" w:type="dxa"/>
          <w:right w:w="0" w:type="dxa"/>
        </w:tblCellMar>
      </w:tblPr>
      <w:tblGrid>
        <w:gridCol w:w="411"/>
        <w:gridCol w:w="284"/>
        <w:gridCol w:w="769"/>
        <w:gridCol w:w="1446"/>
        <w:gridCol w:w="1018"/>
        <w:gridCol w:w="1700"/>
        <w:gridCol w:w="2708"/>
      </w:tblGrid>
      <w:tr>
        <w:tblPrEx>
          <w:shd w:val="clear" w:color="auto" w:fill="auto"/>
          <w:tblCellMar>
            <w:top w:w="0" w:type="dxa"/>
            <w:left w:w="0" w:type="dxa"/>
            <w:bottom w:w="0" w:type="dxa"/>
            <w:right w:w="0" w:type="dxa"/>
          </w:tblCellMar>
        </w:tblPrEx>
        <w:trPr>
          <w:trHeight w:val="630" w:hRule="atLeast"/>
        </w:trPr>
        <w:tc>
          <w:tcPr>
            <w:tcW w:w="8336" w:type="dxa"/>
            <w:gridSpan w:val="7"/>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tblPrEx>
          <w:tblCellMar>
            <w:top w:w="0" w:type="dxa"/>
            <w:left w:w="0" w:type="dxa"/>
            <w:bottom w:w="0" w:type="dxa"/>
            <w:right w:w="0" w:type="dxa"/>
          </w:tblCellMar>
        </w:tblPrEx>
        <w:trPr>
          <w:trHeight w:val="407" w:hRule="atLeast"/>
        </w:trPr>
        <w:tc>
          <w:tcPr>
            <w:tcW w:w="2910" w:type="dxa"/>
            <w:gridSpan w:val="4"/>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单位：乐山市奥林匹克学校</w:t>
            </w:r>
          </w:p>
        </w:tc>
        <w:tc>
          <w:tcPr>
            <w:tcW w:w="1018"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tc>
        <w:tc>
          <w:tcPr>
            <w:tcW w:w="1700"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tc>
        <w:tc>
          <w:tcPr>
            <w:tcW w:w="270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93" w:hRule="atLeast"/>
        </w:trPr>
        <w:tc>
          <w:tcPr>
            <w:tcW w:w="2910" w:type="dxa"/>
            <w:gridSpan w:val="4"/>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426" w:type="dxa"/>
            <w:gridSpan w:val="3"/>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tblPrEx>
          <w:tblCellMar>
            <w:top w:w="0" w:type="dxa"/>
            <w:left w:w="0" w:type="dxa"/>
            <w:bottom w:w="0" w:type="dxa"/>
            <w:right w:w="0" w:type="dxa"/>
          </w:tblCellMar>
        </w:tblPrEx>
        <w:trPr>
          <w:trHeight w:val="630" w:hRule="atLeast"/>
        </w:trPr>
        <w:tc>
          <w:tcPr>
            <w:tcW w:w="695" w:type="dxa"/>
            <w:gridSpan w:val="2"/>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69" w:type="dxa"/>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单位代码</w:t>
            </w:r>
          </w:p>
        </w:tc>
        <w:tc>
          <w:tcPr>
            <w:tcW w:w="1446" w:type="dxa"/>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018" w:type="dxa"/>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人员经费</w:t>
            </w:r>
          </w:p>
        </w:tc>
        <w:tc>
          <w:tcPr>
            <w:tcW w:w="2708" w:type="dxa"/>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493" w:hRule="atLeast"/>
        </w:trPr>
        <w:tc>
          <w:tcPr>
            <w:tcW w:w="411" w:type="dxa"/>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84" w:type="dxa"/>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69" w:type="dxa"/>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pPr>
          </w:p>
        </w:tc>
        <w:tc>
          <w:tcPr>
            <w:tcW w:w="1446" w:type="dxa"/>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18" w:type="dxa"/>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700" w:type="dxa"/>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pPr>
          </w:p>
        </w:tc>
        <w:tc>
          <w:tcPr>
            <w:tcW w:w="2708" w:type="dxa"/>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95" w:hRule="atLeast"/>
        </w:trPr>
        <w:tc>
          <w:tcPr>
            <w:tcW w:w="411" w:type="dxa"/>
            <w:tcBorders>
              <w:top w:val="single" w:color="C0C0C0" w:sz="8" w:space="0"/>
              <w:left w:val="single" w:color="C0C0C0" w:sz="8" w:space="0"/>
              <w:bottom w:val="single" w:color="C0C0C0" w:sz="8" w:space="0"/>
              <w:right w:val="single" w:color="C0C0C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4" w:type="dxa"/>
            <w:tcBorders>
              <w:top w:val="single" w:color="C0C0C0" w:sz="8" w:space="0"/>
              <w:left w:val="nil"/>
              <w:bottom w:val="single" w:color="C0C0C0" w:sz="8" w:space="0"/>
              <w:right w:val="single" w:color="C0C0C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769" w:type="dxa"/>
            <w:tcBorders>
              <w:top w:val="single" w:color="C0C0C0" w:sz="8" w:space="0"/>
              <w:left w:val="nil"/>
              <w:bottom w:val="single" w:color="C0C0C0" w:sz="8" w:space="0"/>
              <w:right w:val="single" w:color="C0C0C0" w:sz="8" w:space="0"/>
            </w:tcBorders>
            <w:shd w:val="clear" w:color="auto" w:fill="auto"/>
            <w:tcMar>
              <w:top w:w="15" w:type="dxa"/>
              <w:left w:w="15" w:type="dxa"/>
              <w:right w:w="15" w:type="dxa"/>
            </w:tcMar>
            <w:vAlign w:val="center"/>
          </w:tcPr>
          <w:p>
            <w:pPr>
              <w:jc w:val="center"/>
            </w:pPr>
          </w:p>
        </w:tc>
        <w:tc>
          <w:tcPr>
            <w:tcW w:w="1446" w:type="dxa"/>
            <w:tcBorders>
              <w:top w:val="single" w:color="C0C0C0" w:sz="8" w:space="0"/>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018" w:type="dxa"/>
            <w:tcBorders>
              <w:top w:val="single" w:color="C0C0C0" w:sz="8" w:space="0"/>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646.70</w:t>
            </w:r>
          </w:p>
        </w:tc>
        <w:tc>
          <w:tcPr>
            <w:tcW w:w="1700" w:type="dxa"/>
            <w:tcBorders>
              <w:top w:val="single" w:color="C0C0C0" w:sz="8" w:space="0"/>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580.17</w:t>
            </w:r>
          </w:p>
        </w:tc>
        <w:tc>
          <w:tcPr>
            <w:tcW w:w="2708" w:type="dxa"/>
            <w:tcBorders>
              <w:top w:val="single" w:color="C0C0C0" w:sz="8" w:space="0"/>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66.53</w:t>
            </w:r>
          </w:p>
        </w:tc>
      </w:tr>
      <w:tr>
        <w:tblPrEx>
          <w:tblCellMar>
            <w:top w:w="0" w:type="dxa"/>
            <w:left w:w="0" w:type="dxa"/>
            <w:bottom w:w="0" w:type="dxa"/>
            <w:right w:w="0" w:type="dxa"/>
          </w:tblCellMar>
        </w:tblPrEx>
        <w:trPr>
          <w:trHeight w:val="625"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323303</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乐山市奥林匹克学校</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646.70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580.17</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66.53</w:t>
            </w:r>
          </w:p>
        </w:tc>
      </w:tr>
      <w:tr>
        <w:tblPrEx>
          <w:tblCellMar>
            <w:top w:w="0" w:type="dxa"/>
            <w:left w:w="0" w:type="dxa"/>
            <w:bottom w:w="0" w:type="dxa"/>
            <w:right w:w="0" w:type="dxa"/>
          </w:tblCellMar>
        </w:tblPrEx>
        <w:trPr>
          <w:trHeight w:val="368"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工资福利支出</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580.17</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580.17</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68"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30101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201.67</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201.67</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02</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30102</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津贴补贴</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5.86</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02</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3010201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地方津贴补贴</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5.86</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07</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30107</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绩效工资</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118.27</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118.27</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25"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07</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3010701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基础性绩效工资</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75.00</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25"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07</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3010702</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奖励性绩效工资</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43.27</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43.27</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927"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08</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30108</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64.48</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09</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30109</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职业年金缴费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32.24</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50" w:hRule="atLeast"/>
        </w:trPr>
        <w:tc>
          <w:tcPr>
            <w:tcW w:w="411" w:type="dxa"/>
            <w:tcBorders>
              <w:top w:val="single" w:color="C0C0C0" w:sz="8" w:space="0"/>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single" w:color="C0C0C0" w:sz="8" w:space="0"/>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10</w:t>
            </w:r>
          </w:p>
        </w:tc>
        <w:tc>
          <w:tcPr>
            <w:tcW w:w="769" w:type="dxa"/>
            <w:tcBorders>
              <w:top w:val="single" w:color="C0C0C0" w:sz="8" w:space="0"/>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30110</w:t>
            </w:r>
          </w:p>
        </w:tc>
        <w:tc>
          <w:tcPr>
            <w:tcW w:w="1446" w:type="dxa"/>
            <w:tcBorders>
              <w:top w:val="single" w:color="C0C0C0" w:sz="8" w:space="0"/>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职工基本医疗保险缴费</w:t>
            </w:r>
          </w:p>
        </w:tc>
        <w:tc>
          <w:tcPr>
            <w:tcW w:w="1018" w:type="dxa"/>
            <w:tcBorders>
              <w:top w:val="single" w:color="C0C0C0" w:sz="8" w:space="0"/>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1700" w:type="dxa"/>
            <w:tcBorders>
              <w:top w:val="single" w:color="C0C0C0" w:sz="8" w:space="0"/>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20.60</w:t>
            </w:r>
          </w:p>
        </w:tc>
        <w:tc>
          <w:tcPr>
            <w:tcW w:w="2708" w:type="dxa"/>
            <w:tcBorders>
              <w:top w:val="single" w:color="C0C0C0" w:sz="8" w:space="0"/>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25"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12</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30112</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其他社会保障缴费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8.28</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12</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3011201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工伤保险</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0.81</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12</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3011202</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失业保险</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2.42</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5"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12</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3011203</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残疾人就业保障金</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5.06</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13</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30113</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51.55</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51.55</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5"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30199</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其他工资福利支出</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77.22</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77.22</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5"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3019913</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事业平时绩效工资</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77.22</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77.22</w:t>
            </w: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商品和服务支出</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66.53</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66.53</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30201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办公费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3020101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日常办公用品</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3020102</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书报杂志</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05</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30205</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水费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05</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3020501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办公卫生用水</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05</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3020502</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饮用水</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05</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3020599</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其他水费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06</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30206</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电费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06</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3020601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办公用电费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07</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30207</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邮电费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07</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3020705</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网络通讯费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11</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30211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差旅费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CellMar>
            <w:top w:w="0" w:type="dxa"/>
            <w:left w:w="0" w:type="dxa"/>
            <w:bottom w:w="0" w:type="dxa"/>
            <w:right w:w="0" w:type="dxa"/>
          </w:tblCellMar>
        </w:tblPrEx>
        <w:trPr>
          <w:trHeight w:val="625"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11</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3021101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差旅城市间交通费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11</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3021102</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差旅住宿费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r>
      <w:tr>
        <w:tblPrEx>
          <w:tblCellMar>
            <w:top w:w="0" w:type="dxa"/>
            <w:left w:w="0" w:type="dxa"/>
            <w:bottom w:w="0" w:type="dxa"/>
            <w:right w:w="0" w:type="dxa"/>
          </w:tblCellMar>
        </w:tblPrEx>
        <w:trPr>
          <w:trHeight w:val="625"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11</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3021103</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差旅伙食补助费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11</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3021104</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差旅公杂费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13</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30213</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维修（护）费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tblPrEx>
          <w:tblCellMar>
            <w:top w:w="0" w:type="dxa"/>
            <w:left w:w="0" w:type="dxa"/>
            <w:bottom w:w="0" w:type="dxa"/>
            <w:right w:w="0" w:type="dxa"/>
          </w:tblCellMar>
        </w:tblPrEx>
        <w:trPr>
          <w:trHeight w:val="625"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13</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3021301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办公设备维修（护）费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r>
      <w:tr>
        <w:tblPrEx>
          <w:tblCellMar>
            <w:top w:w="0" w:type="dxa"/>
            <w:left w:w="0" w:type="dxa"/>
            <w:bottom w:w="0" w:type="dxa"/>
            <w:right w:w="0" w:type="dxa"/>
          </w:tblCellMar>
        </w:tblPrEx>
        <w:trPr>
          <w:trHeight w:val="625"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13</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3021312</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零星维修（护）费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26</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30226</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劳务费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26</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3022699</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其他劳务费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CellMar>
            <w:top w:w="0" w:type="dxa"/>
            <w:left w:w="0" w:type="dxa"/>
            <w:bottom w:w="0" w:type="dxa"/>
            <w:right w:w="0" w:type="dxa"/>
          </w:tblCellMar>
        </w:tblPrEx>
        <w:trPr>
          <w:trHeight w:val="330"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28</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30228</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工会经费</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w:t>
            </w:r>
          </w:p>
        </w:tc>
      </w:tr>
      <w:tr>
        <w:tblPrEx>
          <w:tblCellMar>
            <w:top w:w="0" w:type="dxa"/>
            <w:left w:w="0" w:type="dxa"/>
            <w:bottom w:w="0" w:type="dxa"/>
            <w:right w:w="0" w:type="dxa"/>
          </w:tblCellMar>
        </w:tblPrEx>
        <w:trPr>
          <w:trHeight w:val="644" w:hRule="atLeast"/>
        </w:trPr>
        <w:tc>
          <w:tcPr>
            <w:tcW w:w="411" w:type="dxa"/>
            <w:tcBorders>
              <w:top w:val="nil"/>
              <w:left w:val="single" w:color="C0C0C0" w:sz="8" w:space="0"/>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284"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28</w:t>
            </w:r>
          </w:p>
        </w:tc>
        <w:tc>
          <w:tcPr>
            <w:tcW w:w="769"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3022801</w:t>
            </w:r>
          </w:p>
        </w:tc>
        <w:tc>
          <w:tcPr>
            <w:tcW w:w="1446"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工会经费（比例）</w:t>
            </w:r>
          </w:p>
        </w:tc>
        <w:tc>
          <w:tcPr>
            <w:tcW w:w="101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1700"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jc w:val="right"/>
            </w:pPr>
          </w:p>
        </w:tc>
        <w:tc>
          <w:tcPr>
            <w:tcW w:w="2708" w:type="dxa"/>
            <w:tcBorders>
              <w:top w:val="nil"/>
              <w:left w:val="nil"/>
              <w:bottom w:val="single" w:color="C0C0C0" w:sz="8" w:space="0"/>
              <w:right w:val="single" w:color="C0C0C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r>
    </w:tbl>
    <w:p>
      <w:pPr>
        <w:pStyle w:val="4"/>
        <w:widowControl/>
        <w:numPr>
          <w:ilvl w:val="0"/>
          <w:numId w:val="0"/>
        </w:numPr>
        <w:spacing w:before="0" w:beforeAutospacing="0" w:after="0" w:afterAutospacing="0" w:line="600" w:lineRule="exact"/>
        <w:ind w:right="0" w:rightChars="0"/>
        <w:jc w:val="both"/>
        <w:outlineLvl w:val="1"/>
        <w:rPr>
          <w:rFonts w:hint="eastAsia" w:ascii="Times New Roman" w:hAnsi="Times New Roman" w:eastAsia="仿宋_GB2312" w:cs="仿宋_GB2312"/>
          <w:color w:val="333333"/>
          <w:sz w:val="32"/>
          <w:szCs w:val="32"/>
        </w:rPr>
      </w:pPr>
    </w:p>
    <w:p>
      <w:pPr>
        <w:pStyle w:val="4"/>
        <w:widowControl/>
        <w:numPr>
          <w:ilvl w:val="0"/>
          <w:numId w:val="2"/>
        </w:numPr>
        <w:spacing w:before="0" w:beforeAutospacing="0" w:after="0" w:afterAutospacing="0" w:line="600" w:lineRule="exact"/>
        <w:ind w:left="0" w:leftChars="0"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一般公共预算项目支出预算表（公开表3-2）</w:t>
      </w:r>
    </w:p>
    <w:tbl>
      <w:tblPr>
        <w:tblStyle w:val="5"/>
        <w:tblW w:w="7455" w:type="dxa"/>
        <w:tblInd w:w="0" w:type="dxa"/>
        <w:shd w:val="clear" w:color="auto" w:fill="auto"/>
        <w:tblLayout w:type="autofit"/>
        <w:tblCellMar>
          <w:top w:w="0" w:type="dxa"/>
          <w:left w:w="0" w:type="dxa"/>
          <w:bottom w:w="0" w:type="dxa"/>
          <w:right w:w="0" w:type="dxa"/>
        </w:tblCellMar>
      </w:tblPr>
      <w:tblGrid>
        <w:gridCol w:w="735"/>
        <w:gridCol w:w="735"/>
        <w:gridCol w:w="735"/>
        <w:gridCol w:w="1020"/>
        <w:gridCol w:w="2490"/>
        <w:gridCol w:w="1740"/>
      </w:tblGrid>
      <w:tr>
        <w:tblPrEx>
          <w:shd w:val="clear" w:color="auto" w:fill="auto"/>
          <w:tblCellMar>
            <w:top w:w="0" w:type="dxa"/>
            <w:left w:w="0" w:type="dxa"/>
            <w:bottom w:w="0" w:type="dxa"/>
            <w:right w:w="0" w:type="dxa"/>
          </w:tblCellMar>
        </w:tblPrEx>
        <w:trPr>
          <w:trHeight w:val="458" w:hRule="atLeast"/>
        </w:trPr>
        <w:tc>
          <w:tcPr>
            <w:tcW w:w="7455" w:type="dxa"/>
            <w:gridSpan w:val="6"/>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一般公共预算项目支出预算表</w:t>
            </w:r>
          </w:p>
        </w:tc>
      </w:tr>
      <w:tr>
        <w:tblPrEx>
          <w:tblCellMar>
            <w:top w:w="0" w:type="dxa"/>
            <w:left w:w="0" w:type="dxa"/>
            <w:bottom w:w="0" w:type="dxa"/>
            <w:right w:w="0" w:type="dxa"/>
          </w:tblCellMar>
        </w:tblPrEx>
        <w:trPr>
          <w:trHeight w:val="390" w:hRule="atLeast"/>
        </w:trPr>
        <w:tc>
          <w:tcPr>
            <w:tcW w:w="0" w:type="auto"/>
            <w:gridSpan w:val="5"/>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：乐山市奥林匹克学校</w:t>
            </w: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88" w:hRule="atLeast"/>
        </w:trPr>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488" w:hRule="atLeast"/>
        </w:trPr>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8"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u w:val="none"/>
                <w:lang w:val="en-US" w:eastAsia="zh-CN" w:bidi="ar"/>
              </w:rPr>
              <w:t>37.8</w:t>
            </w:r>
          </w:p>
        </w:tc>
      </w:tr>
      <w:tr>
        <w:tblPrEx>
          <w:tblCellMar>
            <w:top w:w="0" w:type="dxa"/>
            <w:left w:w="0" w:type="dxa"/>
            <w:bottom w:w="0" w:type="dxa"/>
            <w:right w:w="0" w:type="dxa"/>
          </w:tblCellMar>
        </w:tblPrEx>
        <w:trPr>
          <w:trHeight w:val="458" w:hRule="atLeast"/>
        </w:trPr>
        <w:tc>
          <w:tcPr>
            <w:tcW w:w="735" w:type="dxa"/>
            <w:tcBorders>
              <w:top w:val="nil"/>
              <w:left w:val="single" w:color="C2C3C4" w:sz="8" w:space="0"/>
              <w:bottom w:val="single" w:color="C2C3C4" w:sz="8" w:space="0"/>
              <w:right w:val="single" w:color="C2C3C4" w:sz="8" w:space="0"/>
            </w:tcBorders>
            <w:shd w:val="clear" w:color="auto" w:fill="auto"/>
            <w:tcMar>
              <w:top w:w="15" w:type="dxa"/>
              <w:left w:w="15" w:type="dxa"/>
              <w:right w:w="15" w:type="dxa"/>
            </w:tcMar>
            <w:vAlign w:val="top"/>
          </w:tcPr>
          <w:p>
            <w:pPr>
              <w:jc w:val="left"/>
              <w:rPr>
                <w:rFonts w:hint="default" w:ascii="Times New Roman" w:hAnsi="Times New Roman" w:eastAsia="宋体" w:cs="Times New Roman"/>
                <w:i w:val="0"/>
                <w:color w:val="000000"/>
                <w:sz w:val="22"/>
                <w:szCs w:val="22"/>
                <w:u w:val="none"/>
              </w:rPr>
            </w:pPr>
          </w:p>
        </w:tc>
        <w:tc>
          <w:tcPr>
            <w:tcW w:w="735" w:type="dxa"/>
            <w:tcBorders>
              <w:top w:val="nil"/>
              <w:left w:val="nil"/>
              <w:bottom w:val="single" w:color="C2C3C4" w:sz="8" w:space="0"/>
              <w:right w:val="single" w:color="C2C3C4" w:sz="8" w:space="0"/>
            </w:tcBorders>
            <w:shd w:val="clear" w:color="auto" w:fill="auto"/>
            <w:tcMar>
              <w:top w:w="15" w:type="dxa"/>
              <w:left w:w="15" w:type="dxa"/>
              <w:right w:w="15" w:type="dxa"/>
            </w:tcMar>
            <w:vAlign w:val="top"/>
          </w:tcPr>
          <w:p>
            <w:pPr>
              <w:jc w:val="left"/>
              <w:rPr>
                <w:rFonts w:hint="default" w:ascii="Times New Roman" w:hAnsi="Times New Roman" w:eastAsia="宋体" w:cs="Times New Roman"/>
                <w:i w:val="0"/>
                <w:color w:val="000000"/>
                <w:sz w:val="22"/>
                <w:szCs w:val="22"/>
                <w:u w:val="none"/>
              </w:rPr>
            </w:pPr>
          </w:p>
        </w:tc>
        <w:tc>
          <w:tcPr>
            <w:tcW w:w="735" w:type="dxa"/>
            <w:tcBorders>
              <w:top w:val="nil"/>
              <w:left w:val="nil"/>
              <w:bottom w:val="single" w:color="C2C3C4" w:sz="8" w:space="0"/>
              <w:right w:val="single" w:color="C2C3C4" w:sz="8" w:space="0"/>
            </w:tcBorders>
            <w:shd w:val="clear" w:color="auto" w:fill="auto"/>
            <w:tcMar>
              <w:top w:w="15" w:type="dxa"/>
              <w:left w:w="15" w:type="dxa"/>
              <w:right w:w="15" w:type="dxa"/>
            </w:tcMar>
            <w:vAlign w:val="top"/>
          </w:tcPr>
          <w:p>
            <w:pPr>
              <w:jc w:val="left"/>
              <w:rPr>
                <w:rFonts w:hint="default" w:ascii="Times New Roman" w:hAnsi="Times New Roman" w:eastAsia="宋体" w:cs="Times New Roman"/>
                <w:i w:val="0"/>
                <w:color w:val="000000"/>
                <w:sz w:val="22"/>
                <w:szCs w:val="22"/>
                <w:u w:val="none"/>
              </w:rPr>
            </w:pPr>
          </w:p>
        </w:tc>
        <w:tc>
          <w:tcPr>
            <w:tcW w:w="1020" w:type="dxa"/>
            <w:tcBorders>
              <w:top w:val="nil"/>
              <w:left w:val="nil"/>
              <w:bottom w:val="single" w:color="C2C3C4" w:sz="8" w:space="0"/>
              <w:right w:val="single" w:color="C2C3C4" w:sz="8" w:space="0"/>
            </w:tcBorders>
            <w:shd w:val="clear" w:color="auto" w:fill="auto"/>
            <w:tcMar>
              <w:top w:w="15" w:type="dxa"/>
              <w:left w:w="15" w:type="dxa"/>
              <w:right w:w="15" w:type="dxa"/>
            </w:tcMar>
            <w:vAlign w:val="top"/>
          </w:tcPr>
          <w:p>
            <w:pPr>
              <w:jc w:val="left"/>
              <w:rPr>
                <w:rFonts w:hint="default" w:ascii="Times New Roman" w:hAnsi="Times New Roman" w:eastAsia="宋体" w:cs="Times New Roman"/>
                <w:i w:val="0"/>
                <w:color w:val="000000"/>
                <w:sz w:val="22"/>
                <w:szCs w:val="22"/>
                <w:u w:val="none"/>
              </w:rPr>
            </w:pPr>
          </w:p>
        </w:tc>
        <w:tc>
          <w:tcPr>
            <w:tcW w:w="2490" w:type="dxa"/>
            <w:tcBorders>
              <w:top w:val="nil"/>
              <w:left w:val="nil"/>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初中教育</w:t>
            </w:r>
          </w:p>
        </w:tc>
        <w:tc>
          <w:tcPr>
            <w:tcW w:w="1740" w:type="dxa"/>
            <w:tcBorders>
              <w:top w:val="nil"/>
              <w:left w:val="nil"/>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37.8</w:t>
            </w:r>
          </w:p>
        </w:tc>
      </w:tr>
      <w:tr>
        <w:tblPrEx>
          <w:tblCellMar>
            <w:top w:w="0" w:type="dxa"/>
            <w:left w:w="0" w:type="dxa"/>
            <w:bottom w:w="0" w:type="dxa"/>
            <w:right w:w="0" w:type="dxa"/>
          </w:tblCellMar>
        </w:tblPrEx>
        <w:trPr>
          <w:trHeight w:val="458" w:hRule="atLeast"/>
        </w:trPr>
        <w:tc>
          <w:tcPr>
            <w:tcW w:w="735" w:type="dxa"/>
            <w:tcBorders>
              <w:top w:val="nil"/>
              <w:left w:val="single" w:color="C2C3C4" w:sz="8" w:space="0"/>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735" w:type="dxa"/>
            <w:tcBorders>
              <w:top w:val="nil"/>
              <w:left w:val="nil"/>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735" w:type="dxa"/>
            <w:tcBorders>
              <w:top w:val="nil"/>
              <w:left w:val="nil"/>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020" w:type="dxa"/>
            <w:tcBorders>
              <w:top w:val="nil"/>
              <w:left w:val="nil"/>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323303</w:t>
            </w:r>
          </w:p>
        </w:tc>
        <w:tc>
          <w:tcPr>
            <w:tcW w:w="2490" w:type="dxa"/>
            <w:tcBorders>
              <w:top w:val="nil"/>
              <w:left w:val="nil"/>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市奥校课后服务费</w:t>
            </w:r>
          </w:p>
        </w:tc>
        <w:tc>
          <w:tcPr>
            <w:tcW w:w="1740" w:type="dxa"/>
            <w:tcBorders>
              <w:top w:val="nil"/>
              <w:left w:val="nil"/>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37.8</w:t>
            </w:r>
          </w:p>
        </w:tc>
      </w:tr>
    </w:tbl>
    <w:p>
      <w:pPr>
        <w:pStyle w:val="4"/>
        <w:widowControl/>
        <w:numPr>
          <w:ilvl w:val="0"/>
          <w:numId w:val="0"/>
        </w:numPr>
        <w:spacing w:before="0" w:beforeAutospacing="0" w:after="0" w:afterAutospacing="0" w:line="600" w:lineRule="exact"/>
        <w:ind w:right="0" w:rightChars="0"/>
        <w:jc w:val="both"/>
        <w:outlineLvl w:val="1"/>
        <w:rPr>
          <w:rFonts w:hint="eastAsia" w:ascii="Times New Roman" w:hAnsi="Times New Roman" w:eastAsia="仿宋_GB2312" w:cs="仿宋_GB2312"/>
          <w:color w:val="333333"/>
          <w:sz w:val="32"/>
          <w:szCs w:val="32"/>
        </w:rPr>
      </w:pPr>
    </w:p>
    <w:p>
      <w:pPr>
        <w:pStyle w:val="4"/>
        <w:widowControl/>
        <w:numPr>
          <w:ilvl w:val="0"/>
          <w:numId w:val="2"/>
        </w:numPr>
        <w:spacing w:before="0" w:beforeAutospacing="0" w:after="0" w:afterAutospacing="0" w:line="600" w:lineRule="exact"/>
        <w:ind w:left="0" w:leftChars="0"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一般公共预算“三公”经费支出预算表（公开表3-3）</w:t>
      </w:r>
    </w:p>
    <w:tbl>
      <w:tblPr>
        <w:tblStyle w:val="5"/>
        <w:tblW w:w="8550" w:type="dxa"/>
        <w:tblInd w:w="0" w:type="dxa"/>
        <w:shd w:val="clear" w:color="auto" w:fill="auto"/>
        <w:tblLayout w:type="autofit"/>
        <w:tblCellMar>
          <w:top w:w="0" w:type="dxa"/>
          <w:left w:w="0" w:type="dxa"/>
          <w:bottom w:w="0" w:type="dxa"/>
          <w:right w:w="0" w:type="dxa"/>
        </w:tblCellMar>
      </w:tblPr>
      <w:tblGrid>
        <w:gridCol w:w="914"/>
        <w:gridCol w:w="1797"/>
        <w:gridCol w:w="474"/>
        <w:gridCol w:w="693"/>
        <w:gridCol w:w="474"/>
        <w:gridCol w:w="1577"/>
        <w:gridCol w:w="1577"/>
        <w:gridCol w:w="1570"/>
      </w:tblGrid>
      <w:tr>
        <w:tblPrEx>
          <w:shd w:val="clear" w:color="auto" w:fill="auto"/>
          <w:tblCellMar>
            <w:top w:w="0" w:type="dxa"/>
            <w:left w:w="0" w:type="dxa"/>
            <w:bottom w:w="0" w:type="dxa"/>
            <w:right w:w="0" w:type="dxa"/>
          </w:tblCellMar>
        </w:tblPrEx>
        <w:trPr>
          <w:trHeight w:val="458" w:hRule="atLeast"/>
        </w:trPr>
        <w:tc>
          <w:tcPr>
            <w:tcW w:w="8550" w:type="dxa"/>
            <w:gridSpan w:val="8"/>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一般公共预算“三公”经费支出预算表</w:t>
            </w:r>
          </w:p>
        </w:tc>
      </w:tr>
      <w:tr>
        <w:tblPrEx>
          <w:tblCellMar>
            <w:top w:w="0" w:type="dxa"/>
            <w:left w:w="0" w:type="dxa"/>
            <w:bottom w:w="0" w:type="dxa"/>
            <w:right w:w="0" w:type="dxa"/>
          </w:tblCellMar>
        </w:tblPrEx>
        <w:trPr>
          <w:trHeight w:val="390" w:hRule="atLeast"/>
        </w:trPr>
        <w:tc>
          <w:tcPr>
            <w:tcW w:w="0" w:type="auto"/>
            <w:gridSpan w:val="2"/>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：乐山市奥林匹克学校</w:t>
            </w: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88" w:hRule="atLeast"/>
        </w:trPr>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单位编码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0" w:type="auto"/>
            <w:gridSpan w:val="6"/>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当年财政拨款预算安排</w:t>
            </w:r>
          </w:p>
        </w:tc>
      </w:tr>
      <w:tr>
        <w:tblPrEx>
          <w:tblCellMar>
            <w:top w:w="0" w:type="dxa"/>
            <w:left w:w="0" w:type="dxa"/>
            <w:bottom w:w="0" w:type="dxa"/>
            <w:right w:w="0" w:type="dxa"/>
          </w:tblCellMar>
        </w:tblPrEx>
        <w:trPr>
          <w:trHeight w:val="488" w:hRule="atLeast"/>
        </w:trPr>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945"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因公出国（境）费用</w:t>
            </w:r>
          </w:p>
        </w:tc>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488" w:hRule="atLeast"/>
        </w:trPr>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45"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8"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3.00</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3.00</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3.00</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8" w:hRule="atLeast"/>
        </w:trPr>
        <w:tc>
          <w:tcPr>
            <w:tcW w:w="1605" w:type="dxa"/>
            <w:tcBorders>
              <w:top w:val="single" w:color="C2C3C4" w:sz="8" w:space="0"/>
              <w:left w:val="single" w:color="C2C3C4" w:sz="8" w:space="0"/>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323303</w:t>
            </w:r>
          </w:p>
        </w:tc>
        <w:tc>
          <w:tcPr>
            <w:tcW w:w="2160" w:type="dxa"/>
            <w:tcBorders>
              <w:top w:val="single" w:color="C2C3C4" w:sz="8" w:space="0"/>
              <w:left w:val="nil"/>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乐山市奥林匹克学校</w:t>
            </w:r>
          </w:p>
        </w:tc>
        <w:tc>
          <w:tcPr>
            <w:tcW w:w="1320" w:type="dxa"/>
            <w:tcBorders>
              <w:top w:val="single" w:color="C2C3C4" w:sz="8" w:space="0"/>
              <w:left w:val="nil"/>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45" w:type="dxa"/>
            <w:tcBorders>
              <w:top w:val="single" w:color="C2C3C4" w:sz="8" w:space="0"/>
              <w:left w:val="nil"/>
              <w:bottom w:val="single" w:color="C2C3C4" w:sz="8" w:space="0"/>
              <w:right w:val="single" w:color="C2C3C4" w:sz="8" w:space="0"/>
            </w:tcBorders>
            <w:shd w:val="clear" w:color="auto" w:fill="auto"/>
            <w:tcMar>
              <w:top w:w="15" w:type="dxa"/>
              <w:left w:w="15" w:type="dxa"/>
              <w:right w:w="15" w:type="dxa"/>
            </w:tcMar>
            <w:vAlign w:val="top"/>
          </w:tcPr>
          <w:p>
            <w:pPr>
              <w:jc w:val="left"/>
              <w:rPr>
                <w:rFonts w:hint="default" w:ascii="Times New Roman" w:hAnsi="Times New Roman" w:eastAsia="宋体" w:cs="Times New Roman"/>
                <w:i w:val="0"/>
                <w:color w:val="000000"/>
                <w:sz w:val="22"/>
                <w:szCs w:val="22"/>
                <w:u w:val="none"/>
              </w:rPr>
            </w:pPr>
          </w:p>
        </w:tc>
        <w:tc>
          <w:tcPr>
            <w:tcW w:w="630" w:type="dxa"/>
            <w:tcBorders>
              <w:top w:val="single" w:color="C2C3C4" w:sz="8" w:space="0"/>
              <w:left w:val="nil"/>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30" w:type="dxa"/>
            <w:tcBorders>
              <w:top w:val="single" w:color="C2C3C4" w:sz="8" w:space="0"/>
              <w:left w:val="nil"/>
              <w:bottom w:val="single" w:color="C2C3C4" w:sz="8" w:space="0"/>
              <w:right w:val="single" w:color="C2C3C4" w:sz="8" w:space="0"/>
            </w:tcBorders>
            <w:shd w:val="clear" w:color="auto" w:fill="auto"/>
            <w:tcMar>
              <w:top w:w="15" w:type="dxa"/>
              <w:left w:w="15" w:type="dxa"/>
              <w:right w:w="15" w:type="dxa"/>
            </w:tcMar>
            <w:vAlign w:val="top"/>
          </w:tcPr>
          <w:p>
            <w:pPr>
              <w:jc w:val="left"/>
              <w:rPr>
                <w:rFonts w:hint="default" w:ascii="Times New Roman" w:hAnsi="Times New Roman" w:eastAsia="宋体" w:cs="Times New Roman"/>
                <w:i w:val="0"/>
                <w:color w:val="000000"/>
                <w:sz w:val="22"/>
                <w:szCs w:val="22"/>
                <w:u w:val="none"/>
              </w:rPr>
            </w:pPr>
          </w:p>
        </w:tc>
        <w:tc>
          <w:tcPr>
            <w:tcW w:w="630" w:type="dxa"/>
            <w:tcBorders>
              <w:top w:val="single" w:color="C2C3C4" w:sz="8" w:space="0"/>
              <w:left w:val="nil"/>
              <w:bottom w:val="single" w:color="C2C3C4" w:sz="8" w:space="0"/>
              <w:right w:val="single" w:color="C2C3C4"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4"/>
        <w:widowControl/>
        <w:numPr>
          <w:ilvl w:val="0"/>
          <w:numId w:val="0"/>
        </w:numPr>
        <w:spacing w:before="0" w:beforeAutospacing="0" w:after="0" w:afterAutospacing="0" w:line="600" w:lineRule="exact"/>
        <w:ind w:right="0" w:rightChars="0"/>
        <w:jc w:val="both"/>
        <w:outlineLvl w:val="1"/>
        <w:rPr>
          <w:rFonts w:hint="eastAsia" w:ascii="Times New Roman" w:hAnsi="Times New Roman" w:eastAsia="仿宋_GB2312" w:cs="仿宋_GB2312"/>
          <w:color w:val="333333"/>
          <w:sz w:val="32"/>
          <w:szCs w:val="32"/>
        </w:rPr>
      </w:pPr>
    </w:p>
    <w:p>
      <w:pPr>
        <w:pStyle w:val="4"/>
        <w:widowControl/>
        <w:numPr>
          <w:ilvl w:val="0"/>
          <w:numId w:val="2"/>
        </w:numPr>
        <w:spacing w:before="0" w:beforeAutospacing="0" w:after="0" w:afterAutospacing="0" w:line="600" w:lineRule="exact"/>
        <w:ind w:left="0" w:leftChars="0"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政府性基金预算支出表（公开表4）</w:t>
      </w:r>
    </w:p>
    <w:tbl>
      <w:tblPr>
        <w:tblStyle w:val="5"/>
        <w:tblW w:w="9030" w:type="dxa"/>
        <w:tblInd w:w="0" w:type="dxa"/>
        <w:shd w:val="clear" w:color="auto" w:fill="auto"/>
        <w:tblLayout w:type="autofit"/>
        <w:tblCellMar>
          <w:top w:w="0" w:type="dxa"/>
          <w:left w:w="0" w:type="dxa"/>
          <w:bottom w:w="0" w:type="dxa"/>
          <w:right w:w="0" w:type="dxa"/>
        </w:tblCellMar>
      </w:tblPr>
      <w:tblGrid>
        <w:gridCol w:w="353"/>
        <w:gridCol w:w="353"/>
        <w:gridCol w:w="353"/>
        <w:gridCol w:w="1286"/>
        <w:gridCol w:w="2528"/>
        <w:gridCol w:w="664"/>
        <w:gridCol w:w="1286"/>
        <w:gridCol w:w="2207"/>
      </w:tblGrid>
      <w:tr>
        <w:tblPrEx>
          <w:shd w:val="clear" w:color="auto" w:fill="auto"/>
          <w:tblCellMar>
            <w:top w:w="0" w:type="dxa"/>
            <w:left w:w="0" w:type="dxa"/>
            <w:bottom w:w="0" w:type="dxa"/>
            <w:right w:w="0" w:type="dxa"/>
          </w:tblCellMar>
        </w:tblPrEx>
        <w:trPr>
          <w:trHeight w:val="458" w:hRule="atLeast"/>
        </w:trPr>
        <w:tc>
          <w:tcPr>
            <w:tcW w:w="903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 xml:space="preserve">政府性基金预算支出预算表 </w:t>
            </w:r>
          </w:p>
        </w:tc>
      </w:tr>
      <w:tr>
        <w:tblPrEx>
          <w:tblCellMar>
            <w:top w:w="0" w:type="dxa"/>
            <w:left w:w="0" w:type="dxa"/>
            <w:bottom w:w="0" w:type="dxa"/>
            <w:right w:w="0" w:type="dxa"/>
          </w:tblCellMar>
        </w:tblPrEx>
        <w:trPr>
          <w:trHeight w:val="39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：乐山市奥林匹克学校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本年政府性基金预算支出</w:t>
            </w:r>
          </w:p>
        </w:tc>
      </w:tr>
      <w:tr>
        <w:tblPrEx>
          <w:tblCellMar>
            <w:top w:w="0" w:type="dxa"/>
            <w:left w:w="0" w:type="dxa"/>
            <w:bottom w:w="0" w:type="dxa"/>
            <w:right w:w="0"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4"/>
        <w:widowControl/>
        <w:numPr>
          <w:ilvl w:val="0"/>
          <w:numId w:val="0"/>
        </w:numPr>
        <w:spacing w:before="0" w:beforeAutospacing="0" w:after="0" w:afterAutospacing="0" w:line="600" w:lineRule="exact"/>
        <w:ind w:right="0" w:rightChars="0"/>
        <w:jc w:val="both"/>
        <w:outlineLvl w:val="1"/>
        <w:rPr>
          <w:rFonts w:hint="eastAsia" w:ascii="Times New Roman" w:hAnsi="Times New Roman" w:eastAsia="仿宋_GB2312" w:cs="仿宋_GB2312"/>
          <w:color w:val="333333"/>
          <w:sz w:val="32"/>
          <w:szCs w:val="32"/>
        </w:rPr>
      </w:pPr>
    </w:p>
    <w:p>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十一、政府性基金预算“三公”经费支出预算表（公开</w:t>
      </w:r>
    </w:p>
    <w:p>
      <w:pPr>
        <w:pStyle w:val="4"/>
        <w:widowControl/>
        <w:spacing w:before="0" w:beforeAutospacing="0" w:after="0" w:afterAutospacing="0" w:line="600" w:lineRule="exact"/>
        <w:ind w:firstLine="1600" w:firstLineChars="500"/>
        <w:jc w:val="both"/>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表4-1）</w:t>
      </w:r>
    </w:p>
    <w:tbl>
      <w:tblPr>
        <w:tblStyle w:val="5"/>
        <w:tblW w:w="9100" w:type="dxa"/>
        <w:tblInd w:w="0" w:type="dxa"/>
        <w:shd w:val="clear" w:color="auto" w:fill="auto"/>
        <w:tblLayout w:type="autofit"/>
        <w:tblCellMar>
          <w:top w:w="0" w:type="dxa"/>
          <w:left w:w="0" w:type="dxa"/>
          <w:bottom w:w="0" w:type="dxa"/>
          <w:right w:w="0" w:type="dxa"/>
        </w:tblCellMar>
      </w:tblPr>
      <w:tblGrid>
        <w:gridCol w:w="1268"/>
        <w:gridCol w:w="2492"/>
        <w:gridCol w:w="655"/>
        <w:gridCol w:w="1368"/>
        <w:gridCol w:w="766"/>
        <w:gridCol w:w="766"/>
        <w:gridCol w:w="766"/>
        <w:gridCol w:w="1019"/>
      </w:tblGrid>
      <w:tr>
        <w:tblPrEx>
          <w:shd w:val="clear" w:color="auto" w:fill="auto"/>
          <w:tblCellMar>
            <w:top w:w="0" w:type="dxa"/>
            <w:left w:w="0" w:type="dxa"/>
            <w:bottom w:w="0" w:type="dxa"/>
            <w:right w:w="0" w:type="dxa"/>
          </w:tblCellMar>
        </w:tblPrEx>
        <w:trPr>
          <w:trHeight w:val="634" w:hRule="atLeast"/>
        </w:trPr>
        <w:tc>
          <w:tcPr>
            <w:tcW w:w="9100" w:type="dxa"/>
            <w:gridSpan w:val="8"/>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政府性基金预算“三公”经费支出预算表</w:t>
            </w:r>
          </w:p>
        </w:tc>
      </w:tr>
      <w:tr>
        <w:tblPrEx>
          <w:tblCellMar>
            <w:top w:w="0" w:type="dxa"/>
            <w:left w:w="0" w:type="dxa"/>
            <w:bottom w:w="0" w:type="dxa"/>
            <w:right w:w="0" w:type="dxa"/>
          </w:tblCellMar>
        </w:tblPrEx>
        <w:trPr>
          <w:trHeight w:val="634" w:hRule="atLeast"/>
        </w:trPr>
        <w:tc>
          <w:tcPr>
            <w:tcW w:w="0" w:type="auto"/>
            <w:gridSpan w:val="2"/>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：乐山市奥林匹克学校</w:t>
            </w: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2"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2"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2"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1"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501" w:hRule="atLeast"/>
        </w:trPr>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单位编码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0" w:type="auto"/>
            <w:gridSpan w:val="6"/>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当年财政拨款预算安排</w:t>
            </w:r>
          </w:p>
        </w:tc>
      </w:tr>
      <w:tr>
        <w:tblPrEx>
          <w:tblCellMar>
            <w:top w:w="0" w:type="dxa"/>
            <w:left w:w="0" w:type="dxa"/>
            <w:bottom w:w="0" w:type="dxa"/>
            <w:right w:w="0" w:type="dxa"/>
          </w:tblCellMar>
        </w:tblPrEx>
        <w:trPr>
          <w:trHeight w:val="501" w:hRule="atLeast"/>
        </w:trPr>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278"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因公出国（境）费用</w:t>
            </w:r>
          </w:p>
        </w:tc>
        <w:tc>
          <w:tcPr>
            <w:tcW w:w="2556" w:type="dxa"/>
            <w:gridSpan w:val="3"/>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1001"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938" w:hRule="atLeast"/>
        </w:trPr>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78"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52" w:type="dxa"/>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852" w:type="dxa"/>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852" w:type="dxa"/>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1001"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72"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852"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852"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852"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01"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81"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2"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2"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2"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1"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4"/>
        <w:widowControl/>
        <w:spacing w:before="0" w:beforeAutospacing="0" w:after="0" w:afterAutospacing="0" w:line="600" w:lineRule="exact"/>
        <w:jc w:val="both"/>
        <w:rPr>
          <w:rFonts w:hint="eastAsia" w:ascii="Times New Roman" w:hAnsi="Times New Roman" w:eastAsia="仿宋_GB2312" w:cs="仿宋_GB2312"/>
          <w:color w:val="333333"/>
          <w:sz w:val="32"/>
          <w:szCs w:val="32"/>
        </w:rPr>
      </w:pPr>
    </w:p>
    <w:p>
      <w:pPr>
        <w:pStyle w:val="4"/>
        <w:widowControl/>
        <w:numPr>
          <w:ilvl w:val="0"/>
          <w:numId w:val="3"/>
        </w:numPr>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国有资本经营预算支出表（公开表5）</w:t>
      </w:r>
    </w:p>
    <w:tbl>
      <w:tblPr>
        <w:tblStyle w:val="5"/>
        <w:tblW w:w="8550" w:type="dxa"/>
        <w:tblInd w:w="0" w:type="dxa"/>
        <w:shd w:val="clear" w:color="auto" w:fill="auto"/>
        <w:tblLayout w:type="autofit"/>
        <w:tblCellMar>
          <w:top w:w="0" w:type="dxa"/>
          <w:left w:w="0" w:type="dxa"/>
          <w:bottom w:w="0" w:type="dxa"/>
          <w:right w:w="0" w:type="dxa"/>
        </w:tblCellMar>
      </w:tblPr>
      <w:tblGrid>
        <w:gridCol w:w="334"/>
        <w:gridCol w:w="334"/>
        <w:gridCol w:w="334"/>
        <w:gridCol w:w="1217"/>
        <w:gridCol w:w="2393"/>
        <w:gridCol w:w="629"/>
        <w:gridCol w:w="1217"/>
        <w:gridCol w:w="2092"/>
      </w:tblGrid>
      <w:tr>
        <w:tblPrEx>
          <w:shd w:val="clear" w:color="auto" w:fill="auto"/>
          <w:tblCellMar>
            <w:top w:w="0" w:type="dxa"/>
            <w:left w:w="0" w:type="dxa"/>
            <w:bottom w:w="0" w:type="dxa"/>
            <w:right w:w="0" w:type="dxa"/>
          </w:tblCellMar>
        </w:tblPrEx>
        <w:trPr>
          <w:trHeight w:val="458" w:hRule="atLeast"/>
        </w:trPr>
        <w:tc>
          <w:tcPr>
            <w:tcW w:w="8550" w:type="dxa"/>
            <w:gridSpan w:val="8"/>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国有资本经营预算支出预算表</w:t>
            </w:r>
          </w:p>
        </w:tc>
      </w:tr>
      <w:tr>
        <w:tblPrEx>
          <w:tblCellMar>
            <w:top w:w="0" w:type="dxa"/>
            <w:left w:w="0" w:type="dxa"/>
            <w:bottom w:w="0" w:type="dxa"/>
            <w:right w:w="0" w:type="dxa"/>
          </w:tblCellMar>
        </w:tblPrEx>
        <w:trPr>
          <w:trHeight w:val="390" w:hRule="atLeast"/>
        </w:trPr>
        <w:tc>
          <w:tcPr>
            <w:tcW w:w="0" w:type="auto"/>
            <w:gridSpan w:val="5"/>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：乐山市奥林匹克学校</w:t>
            </w: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88" w:hRule="atLeast"/>
        </w:trPr>
        <w:tc>
          <w:tcPr>
            <w:tcW w:w="0" w:type="auto"/>
            <w:gridSpan w:val="5"/>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本年国有资本经营预算支出</w:t>
            </w:r>
          </w:p>
        </w:tc>
      </w:tr>
      <w:tr>
        <w:tblPrEx>
          <w:tblCellMar>
            <w:top w:w="0" w:type="dxa"/>
            <w:left w:w="0" w:type="dxa"/>
            <w:bottom w:w="0" w:type="dxa"/>
            <w:right w:w="0" w:type="dxa"/>
          </w:tblCellMar>
        </w:tblPrEx>
        <w:trPr>
          <w:trHeight w:val="488" w:hRule="atLeast"/>
        </w:trPr>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488" w:hRule="atLeast"/>
        </w:trPr>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8"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4"/>
        <w:widowControl/>
        <w:numPr>
          <w:ilvl w:val="0"/>
          <w:numId w:val="0"/>
        </w:numPr>
        <w:spacing w:before="0" w:beforeAutospacing="0" w:after="0" w:afterAutospacing="0"/>
        <w:ind w:right="0" w:rightChars="0"/>
        <w:jc w:val="both"/>
        <w:rPr>
          <w:rFonts w:hint="eastAsia" w:ascii="Times New Roman" w:hAnsi="Times New Roman" w:eastAsia="仿宋_GB2312" w:cs="仿宋_GB2312"/>
          <w:color w:val="333333"/>
          <w:sz w:val="32"/>
          <w:szCs w:val="32"/>
        </w:rPr>
      </w:pPr>
    </w:p>
    <w:p>
      <w:pPr>
        <w:pStyle w:val="4"/>
        <w:widowControl/>
        <w:numPr>
          <w:ilvl w:val="0"/>
          <w:numId w:val="3"/>
        </w:numPr>
        <w:spacing w:before="0" w:beforeAutospacing="0" w:after="0" w:afterAutospacing="0" w:line="600" w:lineRule="exact"/>
        <w:ind w:left="0" w:leftChars="0" w:firstLine="640" w:firstLineChars="200"/>
        <w:jc w:val="both"/>
        <w:outlineLvl w:val="1"/>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lang w:eastAsia="zh-CN"/>
        </w:rPr>
        <w:t>单位</w:t>
      </w:r>
      <w:r>
        <w:rPr>
          <w:rFonts w:ascii="Times New Roman" w:hAnsi="Times New Roman" w:eastAsia="仿宋_GB2312" w:cs="仿宋_GB2312"/>
          <w:color w:val="333333"/>
          <w:sz w:val="32"/>
          <w:szCs w:val="32"/>
        </w:rPr>
        <w:t>预算项目支出绩效目标表（公开表6）</w:t>
      </w:r>
    </w:p>
    <w:tbl>
      <w:tblPr>
        <w:tblStyle w:val="5"/>
        <w:tblW w:w="9480" w:type="dxa"/>
        <w:tblInd w:w="0" w:type="dxa"/>
        <w:shd w:val="clear" w:color="auto" w:fill="auto"/>
        <w:tblLayout w:type="autofit"/>
        <w:tblCellMar>
          <w:top w:w="0" w:type="dxa"/>
          <w:left w:w="0" w:type="dxa"/>
          <w:bottom w:w="0" w:type="dxa"/>
          <w:right w:w="0" w:type="dxa"/>
        </w:tblCellMar>
      </w:tblPr>
      <w:tblGrid>
        <w:gridCol w:w="988"/>
        <w:gridCol w:w="753"/>
        <w:gridCol w:w="683"/>
        <w:gridCol w:w="1037"/>
        <w:gridCol w:w="770"/>
        <w:gridCol w:w="782"/>
        <w:gridCol w:w="915"/>
        <w:gridCol w:w="782"/>
        <w:gridCol w:w="588"/>
        <w:gridCol w:w="770"/>
        <w:gridCol w:w="441"/>
        <w:gridCol w:w="971"/>
      </w:tblGrid>
      <w:tr>
        <w:tblPrEx>
          <w:shd w:val="clear" w:color="auto" w:fill="auto"/>
          <w:tblCellMar>
            <w:top w:w="0" w:type="dxa"/>
            <w:left w:w="0" w:type="dxa"/>
            <w:bottom w:w="0" w:type="dxa"/>
            <w:right w:w="0" w:type="dxa"/>
          </w:tblCellMar>
        </w:tblPrEx>
        <w:trPr>
          <w:trHeight w:val="638" w:hRule="atLeast"/>
        </w:trPr>
        <w:tc>
          <w:tcPr>
            <w:tcW w:w="9480" w:type="dxa"/>
            <w:gridSpan w:val="12"/>
            <w:tcBorders>
              <w:top w:val="single" w:color="FFFFFF" w:sz="4" w:space="0"/>
              <w:left w:val="single" w:color="FFFFFF" w:sz="4" w:space="0"/>
              <w:bottom w:val="single" w:color="FFFFFF" w:sz="4" w:space="0"/>
              <w:right w:val="single" w:color="FFFFFF"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市级</w:t>
            </w:r>
            <w:r>
              <w:rPr>
                <w:rFonts w:hint="eastAsia" w:ascii="宋体" w:hAnsi="宋体" w:cs="宋体"/>
                <w:b/>
                <w:i w:val="0"/>
                <w:color w:val="000000"/>
                <w:kern w:val="0"/>
                <w:sz w:val="30"/>
                <w:szCs w:val="30"/>
                <w:u w:val="none"/>
                <w:lang w:val="en-US" w:eastAsia="zh-CN" w:bidi="ar"/>
              </w:rPr>
              <w:t>单位</w:t>
            </w:r>
            <w:r>
              <w:rPr>
                <w:rFonts w:hint="eastAsia" w:ascii="宋体" w:hAnsi="宋体" w:eastAsia="宋体" w:cs="宋体"/>
                <w:b/>
                <w:i w:val="0"/>
                <w:color w:val="000000"/>
                <w:kern w:val="0"/>
                <w:sz w:val="30"/>
                <w:szCs w:val="30"/>
                <w:u w:val="none"/>
                <w:lang w:val="en-US" w:eastAsia="zh-CN" w:bidi="ar"/>
              </w:rPr>
              <w:t>预算项目绩效目标申报表（202</w:t>
            </w:r>
            <w:r>
              <w:rPr>
                <w:rFonts w:hint="eastAsia" w:ascii="宋体" w:hAnsi="宋体" w:cs="宋体"/>
                <w:b/>
                <w:i w:val="0"/>
                <w:color w:val="000000"/>
                <w:kern w:val="0"/>
                <w:sz w:val="30"/>
                <w:szCs w:val="30"/>
                <w:u w:val="none"/>
                <w:lang w:val="en-US" w:eastAsia="zh-CN" w:bidi="ar"/>
              </w:rPr>
              <w:t>4</w:t>
            </w:r>
            <w:r>
              <w:rPr>
                <w:rFonts w:hint="eastAsia" w:ascii="宋体" w:hAnsi="宋体" w:eastAsia="宋体" w:cs="宋体"/>
                <w:b/>
                <w:i w:val="0"/>
                <w:color w:val="000000"/>
                <w:kern w:val="0"/>
                <w:sz w:val="30"/>
                <w:szCs w:val="30"/>
                <w:u w:val="none"/>
                <w:lang w:val="en-US" w:eastAsia="zh-CN" w:bidi="ar"/>
              </w:rPr>
              <w:t>年度）</w:t>
            </w:r>
          </w:p>
        </w:tc>
      </w:tr>
      <w:tr>
        <w:tblPrEx>
          <w:tblCellMar>
            <w:top w:w="0" w:type="dxa"/>
            <w:left w:w="0" w:type="dxa"/>
            <w:bottom w:w="0" w:type="dxa"/>
            <w:right w:w="0" w:type="dxa"/>
          </w:tblCellMar>
        </w:tblPrEx>
        <w:trPr>
          <w:trHeight w:val="408" w:hRule="atLeast"/>
        </w:trPr>
        <w:tc>
          <w:tcPr>
            <w:tcW w:w="3430" w:type="dxa"/>
            <w:gridSpan w:val="4"/>
            <w:tcBorders>
              <w:top w:val="single" w:color="FFFFFF" w:sz="4" w:space="0"/>
              <w:left w:val="single" w:color="FFFFFF" w:sz="4" w:space="0"/>
              <w:bottom w:val="nil"/>
              <w:right w:val="single" w:color="FFFFFF"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2" w:type="dxa"/>
            <w:tcBorders>
              <w:top w:val="single" w:color="FFFFFF" w:sz="4" w:space="0"/>
              <w:left w:val="single" w:color="FFFFFF" w:sz="4" w:space="0"/>
              <w:bottom w:val="nil"/>
              <w:right w:val="single" w:color="FFFFFF"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5" w:type="dxa"/>
            <w:tcBorders>
              <w:top w:val="single" w:color="FFFFFF" w:sz="4" w:space="0"/>
              <w:left w:val="single" w:color="FFFFFF" w:sz="4" w:space="0"/>
              <w:bottom w:val="nil"/>
              <w:right w:val="single" w:color="FFFFFF"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29" w:type="dxa"/>
            <w:tcBorders>
              <w:top w:val="single" w:color="FFFFFF" w:sz="4" w:space="0"/>
              <w:left w:val="single" w:color="FFFFFF" w:sz="4" w:space="0"/>
              <w:bottom w:val="nil"/>
              <w:right w:val="single" w:color="FFFFFF"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5" w:type="dxa"/>
            <w:tcBorders>
              <w:top w:val="single" w:color="FFFFFF" w:sz="4" w:space="0"/>
              <w:left w:val="single" w:color="FFFFFF" w:sz="4" w:space="0"/>
              <w:bottom w:val="nil"/>
              <w:right w:val="single" w:color="FFFFFF"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9" w:type="dxa"/>
            <w:tcBorders>
              <w:top w:val="single" w:color="FFFFFF" w:sz="4" w:space="0"/>
              <w:left w:val="single" w:color="FFFFFF" w:sz="4" w:space="0"/>
              <w:bottom w:val="nil"/>
              <w:right w:val="single" w:color="FFFFFF"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90" w:type="dxa"/>
            <w:gridSpan w:val="3"/>
            <w:tcBorders>
              <w:top w:val="single" w:color="FFFFFF" w:sz="4" w:space="0"/>
              <w:left w:val="single" w:color="FFFFFF" w:sz="4" w:space="0"/>
              <w:bottom w:val="nil"/>
              <w:right w:val="single" w:color="FFFFFF"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EFF2F7"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单位名称</w:t>
            </w:r>
          </w:p>
        </w:tc>
        <w:tc>
          <w:tcPr>
            <w:tcW w:w="0" w:type="auto"/>
            <w:tcBorders>
              <w:top w:val="single" w:color="000000" w:sz="4" w:space="0"/>
              <w:left w:val="single" w:color="000000" w:sz="4" w:space="0"/>
              <w:bottom w:val="single" w:color="000000" w:sz="4" w:space="0"/>
              <w:right w:val="single" w:color="000000" w:sz="4" w:space="0"/>
            </w:tcBorders>
            <w:shd w:val="clear" w:color="EFF2F7"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EFF2F7"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EFF2F7"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w:t>
            </w:r>
          </w:p>
        </w:tc>
        <w:tc>
          <w:tcPr>
            <w:tcW w:w="0" w:type="auto"/>
            <w:tcBorders>
              <w:top w:val="single" w:color="000000" w:sz="4" w:space="0"/>
              <w:left w:val="single" w:color="000000" w:sz="4" w:space="0"/>
              <w:bottom w:val="single" w:color="000000" w:sz="4" w:space="0"/>
              <w:right w:val="single" w:color="000000" w:sz="4" w:space="0"/>
            </w:tcBorders>
            <w:shd w:val="clear" w:color="EFF2F7"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FF2F7"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EFF2F7"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FF2F7"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FF2F7"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EFF2F7"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EFF2F7"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EFF2F7"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指标方向性</w:t>
            </w:r>
          </w:p>
        </w:tc>
      </w:tr>
      <w:tr>
        <w:tblPrEx>
          <w:tblCellMar>
            <w:top w:w="0" w:type="dxa"/>
            <w:left w:w="0" w:type="dxa"/>
            <w:bottom w:w="0" w:type="dxa"/>
            <w:right w:w="0" w:type="dxa"/>
          </w:tblCellMar>
        </w:tblPrEx>
        <w:trPr>
          <w:trHeight w:val="638" w:hRule="atLeast"/>
        </w:trPr>
        <w:tc>
          <w:tcPr>
            <w:tcW w:w="100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预算编码-</w:t>
            </w:r>
            <w:r>
              <w:rPr>
                <w:rFonts w:hint="eastAsia" w:ascii="宋体" w:hAnsi="宋体" w:cs="宋体"/>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名称</w:t>
            </w:r>
          </w:p>
        </w:tc>
        <w:tc>
          <w:tcPr>
            <w:tcW w:w="6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7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2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7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4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73"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323303-乐山市奥林匹克学校</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市奥校课后服务费</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w:t>
            </w:r>
            <w:r>
              <w:rPr>
                <w:rFonts w:hint="eastAsia" w:ascii="宋体" w:hAnsi="宋体" w:cs="宋体"/>
                <w:i w:val="0"/>
                <w:color w:val="000000"/>
                <w:kern w:val="0"/>
                <w:sz w:val="18"/>
                <w:szCs w:val="18"/>
                <w:u w:val="none"/>
                <w:lang w:val="en-US" w:eastAsia="zh-CN" w:bidi="ar"/>
              </w:rPr>
              <w:t>7.80</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全年按时发放课后服务费 41 人</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发放时间</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944"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职工满意度</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773"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发放人数</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r>
              <w:rPr>
                <w:rFonts w:hint="eastAsia" w:ascii="宋体" w:hAnsi="宋体" w:cs="宋体"/>
                <w:i w:val="0"/>
                <w:color w:val="000000"/>
                <w:kern w:val="0"/>
                <w:sz w:val="18"/>
                <w:szCs w:val="18"/>
                <w:u w:val="none"/>
                <w:lang w:val="en-US" w:eastAsia="zh-CN" w:bidi="ar"/>
              </w:rPr>
              <w:t>2</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773"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效益指标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职工待遇提升</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高中低</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773"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发放金额</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37.8</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0" w:type="dxa"/>
            <w:bottom w:w="0" w:type="dxa"/>
            <w:right w:w="0" w:type="dxa"/>
          </w:tblCellMar>
        </w:tblPrEx>
        <w:trPr>
          <w:trHeight w:val="783"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4"/>
        <w:widowControl/>
        <w:numPr>
          <w:ilvl w:val="0"/>
          <w:numId w:val="0"/>
        </w:numPr>
        <w:spacing w:before="0" w:beforeAutospacing="0" w:after="0" w:afterAutospacing="0" w:line="600" w:lineRule="exact"/>
        <w:ind w:right="0" w:rightChars="0"/>
        <w:jc w:val="both"/>
        <w:outlineLvl w:val="1"/>
        <w:rPr>
          <w:rFonts w:ascii="Times New Roman" w:hAnsi="Times New Roman" w:eastAsia="仿宋_GB2312" w:cs="仿宋_GB2312"/>
          <w:color w:val="333333"/>
          <w:sz w:val="32"/>
          <w:szCs w:val="32"/>
        </w:rPr>
      </w:pPr>
    </w:p>
    <w:p>
      <w:pPr>
        <w:pStyle w:val="4"/>
        <w:widowControl/>
        <w:numPr>
          <w:ilvl w:val="0"/>
          <w:numId w:val="3"/>
        </w:numPr>
        <w:spacing w:before="0" w:beforeAutospacing="0" w:after="0" w:afterAutospacing="0" w:line="600" w:lineRule="exact"/>
        <w:ind w:left="0" w:leftChars="0" w:firstLine="640" w:firstLineChars="200"/>
        <w:jc w:val="both"/>
        <w:outlineLvl w:val="1"/>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lang w:eastAsia="zh-CN"/>
        </w:rPr>
        <w:t>单位</w:t>
      </w:r>
      <w:r>
        <w:rPr>
          <w:rFonts w:ascii="Times New Roman" w:hAnsi="Times New Roman" w:eastAsia="仿宋_GB2312" w:cs="仿宋_GB2312"/>
          <w:color w:val="333333"/>
          <w:sz w:val="32"/>
          <w:szCs w:val="32"/>
        </w:rPr>
        <w:t>整体支出绩效目标表（公开表7）</w:t>
      </w:r>
    </w:p>
    <w:tbl>
      <w:tblPr>
        <w:tblStyle w:val="5"/>
        <w:tblW w:w="7185" w:type="dxa"/>
        <w:tblInd w:w="0" w:type="dxa"/>
        <w:shd w:val="clear" w:color="auto" w:fill="auto"/>
        <w:tblLayout w:type="autofit"/>
        <w:tblCellMar>
          <w:top w:w="0" w:type="dxa"/>
          <w:left w:w="0" w:type="dxa"/>
          <w:bottom w:w="0" w:type="dxa"/>
          <w:right w:w="0" w:type="dxa"/>
        </w:tblCellMar>
      </w:tblPr>
      <w:tblGrid>
        <w:gridCol w:w="690"/>
        <w:gridCol w:w="1275"/>
        <w:gridCol w:w="525"/>
        <w:gridCol w:w="1185"/>
        <w:gridCol w:w="810"/>
        <w:gridCol w:w="1155"/>
        <w:gridCol w:w="1110"/>
        <w:gridCol w:w="435"/>
      </w:tblGrid>
      <w:tr>
        <w:tblPrEx>
          <w:shd w:val="clear" w:color="auto" w:fill="auto"/>
          <w:tblCellMar>
            <w:top w:w="0" w:type="dxa"/>
            <w:left w:w="0" w:type="dxa"/>
            <w:bottom w:w="0" w:type="dxa"/>
            <w:right w:w="0" w:type="dxa"/>
          </w:tblCellMar>
        </w:tblPrEx>
        <w:trPr>
          <w:trHeight w:val="825" w:hRule="atLeast"/>
        </w:trPr>
        <w:tc>
          <w:tcPr>
            <w:tcW w:w="718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整体支出绩效目标申报表</w:t>
            </w:r>
          </w:p>
        </w:tc>
      </w:tr>
      <w:tr>
        <w:tblPrEx>
          <w:tblCellMar>
            <w:top w:w="0" w:type="dxa"/>
            <w:left w:w="0" w:type="dxa"/>
            <w:bottom w:w="0" w:type="dxa"/>
            <w:right w:w="0" w:type="dxa"/>
          </w:tblCellMar>
        </w:tblPrEx>
        <w:trPr>
          <w:trHeight w:val="327" w:hRule="atLeast"/>
        </w:trPr>
        <w:tc>
          <w:tcPr>
            <w:tcW w:w="718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ascii="宋体" w:hAnsi="宋体" w:eastAsia="宋体" w:cs="宋体"/>
                <w:i w:val="0"/>
                <w:color w:val="000000"/>
                <w:kern w:val="0"/>
                <w:sz w:val="18"/>
                <w:szCs w:val="18"/>
                <w:u w:val="none"/>
                <w:lang w:val="en-US" w:eastAsia="zh-CN" w:bidi="ar"/>
              </w:rPr>
              <w:t>年度）</w:t>
            </w:r>
          </w:p>
        </w:tc>
      </w:tr>
      <w:tr>
        <w:tblPrEx>
          <w:tblCellMar>
            <w:top w:w="0" w:type="dxa"/>
            <w:left w:w="0" w:type="dxa"/>
            <w:bottom w:w="0" w:type="dxa"/>
            <w:right w:w="0" w:type="dxa"/>
          </w:tblCellMar>
        </w:tblPrEx>
        <w:trPr>
          <w:trHeight w:val="327" w:hRule="atLeast"/>
        </w:trPr>
        <w:tc>
          <w:tcPr>
            <w:tcW w:w="7185" w:type="dxa"/>
            <w:gridSpan w:val="8"/>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653" w:hRule="atLeast"/>
        </w:trPr>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单位</w:t>
            </w:r>
            <w:r>
              <w:rPr>
                <w:rFonts w:ascii="宋体" w:hAnsi="宋体" w:eastAsia="宋体" w:cs="宋体"/>
                <w:i w:val="0"/>
                <w:color w:val="000000"/>
                <w:kern w:val="0"/>
                <w:sz w:val="18"/>
                <w:szCs w:val="18"/>
                <w:u w:val="none"/>
                <w:lang w:val="en-US" w:eastAsia="zh-CN" w:bidi="ar"/>
              </w:rPr>
              <w:t>名称</w:t>
            </w:r>
          </w:p>
        </w:tc>
        <w:tc>
          <w:tcPr>
            <w:tcW w:w="469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乐山市奥林匹克学校</w:t>
            </w:r>
          </w:p>
        </w:tc>
      </w:tr>
      <w:tr>
        <w:tblPrEx>
          <w:tblCellMar>
            <w:top w:w="0" w:type="dxa"/>
            <w:left w:w="0" w:type="dxa"/>
            <w:bottom w:w="0" w:type="dxa"/>
            <w:right w:w="0" w:type="dxa"/>
          </w:tblCellMar>
        </w:tblPrEx>
        <w:trPr>
          <w:trHeight w:val="653"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年度主要任务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任务名称</w:t>
            </w:r>
          </w:p>
        </w:tc>
        <w:tc>
          <w:tcPr>
            <w:tcW w:w="469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主要内容</w:t>
            </w:r>
          </w:p>
        </w:tc>
      </w:tr>
      <w:tr>
        <w:tblPrEx>
          <w:tblCellMar>
            <w:top w:w="0" w:type="dxa"/>
            <w:left w:w="0" w:type="dxa"/>
            <w:bottom w:w="0" w:type="dxa"/>
            <w:right w:w="0" w:type="dxa"/>
          </w:tblCellMar>
        </w:tblPrEx>
        <w:trPr>
          <w:trHeight w:val="653"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培养和输送高水平体育后备人才和社会体育人才</w:t>
            </w:r>
          </w:p>
        </w:tc>
        <w:tc>
          <w:tcPr>
            <w:tcW w:w="469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培养和输送高水平体育后备人才和社会体育人才</w:t>
            </w:r>
          </w:p>
        </w:tc>
      </w:tr>
      <w:tr>
        <w:tblPrEx>
          <w:tblCellMar>
            <w:top w:w="0" w:type="dxa"/>
            <w:left w:w="0" w:type="dxa"/>
            <w:bottom w:w="0" w:type="dxa"/>
            <w:right w:w="0" w:type="dxa"/>
          </w:tblCellMar>
        </w:tblPrEx>
        <w:trPr>
          <w:trHeight w:val="653"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承担乐山市组队参加省运会和全国单项比赛任务</w:t>
            </w:r>
          </w:p>
        </w:tc>
        <w:tc>
          <w:tcPr>
            <w:tcW w:w="469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完成省十四运会各运动队组队及备战训练任务</w:t>
            </w:r>
          </w:p>
        </w:tc>
      </w:tr>
      <w:tr>
        <w:tblPrEx>
          <w:tblCellMar>
            <w:top w:w="0" w:type="dxa"/>
            <w:left w:w="0" w:type="dxa"/>
            <w:bottom w:w="0" w:type="dxa"/>
            <w:right w:w="0" w:type="dxa"/>
          </w:tblCellMar>
        </w:tblPrEx>
        <w:trPr>
          <w:trHeight w:val="653"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9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w:t>
            </w:r>
            <w:r>
              <w:rPr>
                <w:rFonts w:hint="eastAsia" w:ascii="宋体" w:hAnsi="宋体" w:cs="宋体"/>
                <w:i w:val="0"/>
                <w:color w:val="000000"/>
                <w:kern w:val="0"/>
                <w:sz w:val="18"/>
                <w:szCs w:val="18"/>
                <w:u w:val="none"/>
                <w:lang w:val="en-US" w:eastAsia="zh-CN" w:bidi="ar"/>
              </w:rPr>
              <w:t>单位</w:t>
            </w:r>
            <w:r>
              <w:rPr>
                <w:rFonts w:ascii="宋体" w:hAnsi="宋体" w:eastAsia="宋体" w:cs="宋体"/>
                <w:i w:val="0"/>
                <w:color w:val="000000"/>
                <w:kern w:val="0"/>
                <w:sz w:val="18"/>
                <w:szCs w:val="18"/>
                <w:u w:val="none"/>
                <w:lang w:val="en-US" w:eastAsia="zh-CN" w:bidi="ar"/>
              </w:rPr>
              <w:t>整体支出预算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资金总额</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财政拨款</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r>
      <w:tr>
        <w:tblPrEx>
          <w:tblCellMar>
            <w:top w:w="0" w:type="dxa"/>
            <w:left w:w="0" w:type="dxa"/>
            <w:bottom w:w="0" w:type="dxa"/>
            <w:right w:w="0" w:type="dxa"/>
          </w:tblCellMar>
        </w:tblPrEx>
        <w:trPr>
          <w:trHeight w:val="653"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684.5</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684.5</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年度总体目标</w:t>
            </w:r>
          </w:p>
        </w:tc>
        <w:tc>
          <w:tcPr>
            <w:tcW w:w="64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完成省十</w:t>
            </w:r>
            <w:r>
              <w:rPr>
                <w:rFonts w:hint="eastAsia" w:ascii="宋体" w:hAnsi="宋体" w:cs="宋体"/>
                <w:i w:val="0"/>
                <w:color w:val="000000"/>
                <w:kern w:val="0"/>
                <w:sz w:val="18"/>
                <w:szCs w:val="18"/>
                <w:u w:val="none"/>
                <w:lang w:val="en-US" w:eastAsia="zh-CN" w:bidi="ar"/>
              </w:rPr>
              <w:t>五</w:t>
            </w:r>
            <w:r>
              <w:rPr>
                <w:rFonts w:ascii="宋体" w:hAnsi="宋体" w:eastAsia="宋体" w:cs="宋体"/>
                <w:i w:val="0"/>
                <w:color w:val="000000"/>
                <w:kern w:val="0"/>
                <w:sz w:val="18"/>
                <w:szCs w:val="18"/>
                <w:u w:val="none"/>
                <w:lang w:val="en-US" w:eastAsia="zh-CN" w:bidi="ar"/>
              </w:rPr>
              <w:t>运会各运动队组队参赛；完成202</w:t>
            </w:r>
            <w:r>
              <w:rPr>
                <w:rFonts w:hint="eastAsia" w:ascii="宋体" w:hAnsi="宋体" w:cs="宋体"/>
                <w:i w:val="0"/>
                <w:color w:val="000000"/>
                <w:kern w:val="0"/>
                <w:sz w:val="18"/>
                <w:szCs w:val="18"/>
                <w:u w:val="none"/>
                <w:lang w:val="en-US" w:eastAsia="zh-CN" w:bidi="ar"/>
              </w:rPr>
              <w:t>4</w:t>
            </w:r>
            <w:r>
              <w:rPr>
                <w:rFonts w:ascii="宋体" w:hAnsi="宋体" w:eastAsia="宋体" w:cs="宋体"/>
                <w:i w:val="0"/>
                <w:color w:val="000000"/>
                <w:kern w:val="0"/>
                <w:sz w:val="18"/>
                <w:szCs w:val="18"/>
                <w:u w:val="none"/>
                <w:lang w:val="en-US" w:eastAsia="zh-CN" w:bidi="ar"/>
              </w:rPr>
              <w:t>年基础教育教学工作。</w:t>
            </w:r>
          </w:p>
        </w:tc>
      </w:tr>
      <w:tr>
        <w:tblPrEx>
          <w:tblCellMar>
            <w:top w:w="0" w:type="dxa"/>
            <w:left w:w="0" w:type="dxa"/>
            <w:bottom w:w="0" w:type="dxa"/>
            <w:right w:w="0" w:type="dxa"/>
          </w:tblCellMar>
        </w:tblPrEx>
        <w:trPr>
          <w:trHeight w:val="653"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年度绩效指标</w:t>
            </w:r>
          </w:p>
        </w:tc>
        <w:tc>
          <w:tcPr>
            <w:tcW w:w="12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指标值（包含数字及文字描述）</w:t>
            </w:r>
          </w:p>
        </w:tc>
      </w:tr>
      <w:tr>
        <w:tblPrEx>
          <w:tblCellMar>
            <w:top w:w="0" w:type="dxa"/>
            <w:left w:w="0" w:type="dxa"/>
            <w:bottom w:w="0" w:type="dxa"/>
            <w:right w:w="0" w:type="dxa"/>
          </w:tblCellMar>
        </w:tblPrEx>
        <w:trPr>
          <w:trHeight w:val="653"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参赛人数</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≥300人</w:t>
            </w:r>
          </w:p>
        </w:tc>
      </w:tr>
      <w:tr>
        <w:tblPrEx>
          <w:tblCellMar>
            <w:top w:w="0" w:type="dxa"/>
            <w:left w:w="0" w:type="dxa"/>
            <w:bottom w:w="0" w:type="dxa"/>
            <w:right w:w="0" w:type="dxa"/>
          </w:tblCellMar>
        </w:tblPrEx>
        <w:trPr>
          <w:trHeight w:val="653"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参赛质量</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优秀</w:t>
            </w:r>
          </w:p>
        </w:tc>
      </w:tr>
      <w:tr>
        <w:tblPrEx>
          <w:tblCellMar>
            <w:top w:w="0" w:type="dxa"/>
            <w:left w:w="0" w:type="dxa"/>
            <w:bottom w:w="0" w:type="dxa"/>
            <w:right w:w="0" w:type="dxa"/>
          </w:tblCellMar>
        </w:tblPrEx>
        <w:trPr>
          <w:trHeight w:val="653"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1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w:t>
            </w:r>
          </w:p>
        </w:tc>
        <w:tc>
          <w:tcPr>
            <w:tcW w:w="196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提升学校知名度</w:t>
            </w:r>
          </w:p>
        </w:tc>
        <w:tc>
          <w:tcPr>
            <w:tcW w:w="154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明显提升</w:t>
            </w:r>
          </w:p>
        </w:tc>
      </w:tr>
      <w:tr>
        <w:tblPrEx>
          <w:tblCellMar>
            <w:top w:w="0" w:type="dxa"/>
            <w:left w:w="0" w:type="dxa"/>
            <w:bottom w:w="0" w:type="dxa"/>
            <w:right w:w="0" w:type="dxa"/>
          </w:tblCellMar>
        </w:tblPrEx>
        <w:trPr>
          <w:trHeight w:val="4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社会满意度</w:t>
            </w:r>
          </w:p>
        </w:tc>
        <w:tc>
          <w:tcPr>
            <w:tcW w:w="154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r>
    </w:tbl>
    <w:p>
      <w:pPr>
        <w:pStyle w:val="4"/>
        <w:widowControl/>
        <w:numPr>
          <w:ilvl w:val="0"/>
          <w:numId w:val="0"/>
        </w:numPr>
        <w:spacing w:before="0" w:beforeAutospacing="0" w:after="0" w:afterAutospacing="0" w:line="600" w:lineRule="exact"/>
        <w:ind w:right="0" w:rightChars="0"/>
        <w:jc w:val="both"/>
        <w:outlineLvl w:val="1"/>
        <w:rPr>
          <w:rFonts w:hint="eastAsia" w:ascii="Times New Roman" w:hAnsi="Times New Roman" w:eastAsia="仿宋_GB2312" w:cs="仿宋_GB2312"/>
          <w:color w:val="333333"/>
          <w:sz w:val="32"/>
          <w:szCs w:val="32"/>
        </w:rPr>
      </w:pPr>
    </w:p>
    <w:p>
      <w:pPr>
        <w:pStyle w:val="4"/>
        <w:widowControl/>
        <w:numPr>
          <w:ilvl w:val="0"/>
          <w:numId w:val="3"/>
        </w:numPr>
        <w:spacing w:before="0" w:beforeAutospacing="0" w:after="0" w:afterAutospacing="0" w:line="600" w:lineRule="exact"/>
        <w:ind w:left="0" w:leftChars="0"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政府采购预算表（公开表8）</w:t>
      </w:r>
    </w:p>
    <w:tbl>
      <w:tblPr>
        <w:tblStyle w:val="5"/>
        <w:tblW w:w="8850" w:type="dxa"/>
        <w:tblInd w:w="0" w:type="dxa"/>
        <w:shd w:val="clear" w:color="auto" w:fill="auto"/>
        <w:tblLayout w:type="autofit"/>
        <w:tblCellMar>
          <w:top w:w="0" w:type="dxa"/>
          <w:left w:w="0" w:type="dxa"/>
          <w:bottom w:w="0" w:type="dxa"/>
          <w:right w:w="0" w:type="dxa"/>
        </w:tblCellMar>
      </w:tblPr>
      <w:tblGrid>
        <w:gridCol w:w="1008"/>
        <w:gridCol w:w="2070"/>
        <w:gridCol w:w="1076"/>
        <w:gridCol w:w="1110"/>
        <w:gridCol w:w="1008"/>
        <w:gridCol w:w="1008"/>
        <w:gridCol w:w="1570"/>
      </w:tblGrid>
      <w:tr>
        <w:tblPrEx>
          <w:shd w:val="clear" w:color="auto" w:fill="auto"/>
          <w:tblCellMar>
            <w:top w:w="0" w:type="dxa"/>
            <w:left w:w="0" w:type="dxa"/>
            <w:bottom w:w="0" w:type="dxa"/>
            <w:right w:w="0" w:type="dxa"/>
          </w:tblCellMar>
        </w:tblPrEx>
        <w:trPr>
          <w:trHeight w:val="499" w:hRule="atLeast"/>
        </w:trPr>
        <w:tc>
          <w:tcPr>
            <w:tcW w:w="8850" w:type="dxa"/>
            <w:gridSpan w:val="7"/>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政 府 采 购 预 算 表</w:t>
            </w:r>
          </w:p>
        </w:tc>
      </w:tr>
      <w:tr>
        <w:tblPrEx>
          <w:tblCellMar>
            <w:top w:w="0" w:type="dxa"/>
            <w:left w:w="0" w:type="dxa"/>
            <w:bottom w:w="0" w:type="dxa"/>
            <w:right w:w="0" w:type="dxa"/>
          </w:tblCellMar>
        </w:tblPrEx>
        <w:trPr>
          <w:trHeight w:val="499" w:hRule="atLeast"/>
        </w:trPr>
        <w:tc>
          <w:tcPr>
            <w:tcW w:w="0" w:type="auto"/>
            <w:gridSpan w:val="2"/>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 xml:space="preserve">： 乐山市奥林匹克学校  </w:t>
            </w:r>
          </w:p>
        </w:tc>
        <w:tc>
          <w:tcPr>
            <w:tcW w:w="1200"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60"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80"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80"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99" w:hRule="atLeast"/>
        </w:trPr>
        <w:tc>
          <w:tcPr>
            <w:tcW w:w="5610" w:type="dxa"/>
            <w:gridSpan w:val="4"/>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采购数量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面向中小企业</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政府采购预算</w:t>
            </w:r>
          </w:p>
        </w:tc>
      </w:tr>
      <w:tr>
        <w:tblPrEx>
          <w:tblCellMar>
            <w:top w:w="0" w:type="dxa"/>
            <w:left w:w="0" w:type="dxa"/>
            <w:bottom w:w="0" w:type="dxa"/>
            <w:right w:w="0" w:type="dxa"/>
          </w:tblCellMar>
        </w:tblPrEx>
        <w:trPr>
          <w:trHeight w:val="4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品目序号</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品目名称</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4"/>
        <w:widowControl/>
        <w:numPr>
          <w:ilvl w:val="0"/>
          <w:numId w:val="0"/>
        </w:numPr>
        <w:spacing w:before="0" w:beforeAutospacing="0" w:after="0" w:afterAutospacing="0" w:line="600" w:lineRule="exact"/>
        <w:ind w:right="0" w:rightChars="0"/>
        <w:jc w:val="both"/>
        <w:outlineLvl w:val="1"/>
        <w:rPr>
          <w:rFonts w:hint="eastAsia" w:ascii="Times New Roman" w:hAnsi="Times New Roman" w:eastAsia="仿宋_GB2312" w:cs="仿宋_GB2312"/>
          <w:color w:val="333333"/>
          <w:sz w:val="32"/>
          <w:szCs w:val="32"/>
        </w:rPr>
      </w:pPr>
    </w:p>
    <w:p>
      <w:pPr>
        <w:pStyle w:val="4"/>
        <w:widowControl/>
        <w:spacing w:before="0" w:beforeAutospacing="0" w:after="0" w:afterAutospacing="0" w:line="600" w:lineRule="exact"/>
        <w:ind w:firstLine="640" w:firstLineChars="200"/>
        <w:jc w:val="both"/>
        <w:outlineLvl w:val="1"/>
        <w:rPr>
          <w:rFonts w:ascii="Times New Roman" w:hAnsi="Times New Roman" w:eastAsia="仿宋_GB2312" w:cs="仿宋_GB2312"/>
          <w:color w:val="333333"/>
          <w:sz w:val="32"/>
          <w:szCs w:val="32"/>
        </w:rPr>
      </w:pPr>
    </w:p>
    <w:p>
      <w:pPr>
        <w:pStyle w:val="4"/>
        <w:widowControl/>
        <w:spacing w:before="0" w:beforeAutospacing="0" w:after="0" w:afterAutospacing="0"/>
        <w:jc w:val="both"/>
        <w:rPr>
          <w:rFonts w:ascii="Times New Roman" w:hAnsi="Times New Roman" w:eastAsia="仿宋_GB2312" w:cs="仿宋_GB2312"/>
          <w:color w:val="333333"/>
          <w:sz w:val="32"/>
          <w:szCs w:val="32"/>
        </w:rPr>
      </w:pPr>
    </w:p>
    <w:p>
      <w:pPr>
        <w:pStyle w:val="4"/>
        <w:widowControl/>
        <w:spacing w:before="0" w:beforeAutospacing="0" w:after="0" w:afterAutospacing="0"/>
        <w:jc w:val="both"/>
        <w:rPr>
          <w:rFonts w:ascii="Times New Roman" w:hAnsi="Times New Roman" w:eastAsia="仿宋_GB2312" w:cs="仿宋_GB2312"/>
          <w:color w:val="333333"/>
          <w:sz w:val="32"/>
          <w:szCs w:val="32"/>
        </w:rPr>
        <w:sectPr>
          <w:footerReference r:id="rId6" w:type="default"/>
          <w:pgSz w:w="11906" w:h="16838"/>
          <w:pgMar w:top="1440" w:right="1800" w:bottom="1440" w:left="1800" w:header="720" w:footer="720" w:gutter="0"/>
          <w:pgNumType w:fmt="numberInDash" w:start="2"/>
          <w:cols w:space="720" w:num="1"/>
          <w:docGrid w:type="lines" w:linePitch="312" w:charSpace="0"/>
        </w:sectPr>
      </w:pP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line="600" w:lineRule="exact"/>
        <w:jc w:val="center"/>
        <w:outlineLvl w:val="0"/>
        <w:rPr>
          <w:rFonts w:hint="eastAsia" w:ascii="Times New Roman" w:hAnsi="Times New Roman" w:eastAsia="方正小标宋简体" w:cs="方正小标宋简体"/>
          <w:sz w:val="52"/>
          <w:szCs w:val="52"/>
          <w:lang w:eastAsia="zh-CN" w:bidi="ar"/>
        </w:rPr>
      </w:pPr>
      <w:r>
        <w:rPr>
          <w:rFonts w:hint="eastAsia" w:ascii="Times New Roman" w:hAnsi="Times New Roman" w:eastAsia="方正小标宋简体" w:cs="方正小标宋简体"/>
          <w:sz w:val="52"/>
          <w:szCs w:val="52"/>
          <w:lang w:bidi="ar"/>
        </w:rPr>
        <w:t xml:space="preserve">第三部分 </w:t>
      </w:r>
      <w:r>
        <w:rPr>
          <w:rFonts w:hint="eastAsia" w:ascii="Times New Roman" w:hAnsi="Times New Roman" w:eastAsia="方正小标宋简体" w:cs="方正小标宋简体"/>
          <w:sz w:val="52"/>
          <w:szCs w:val="52"/>
          <w:lang w:val="en-US" w:eastAsia="zh-CN" w:bidi="ar"/>
        </w:rPr>
        <w:t>乐山市奥林匹克学校</w:t>
      </w:r>
    </w:p>
    <w:p>
      <w:pPr>
        <w:pStyle w:val="4"/>
        <w:widowControl/>
        <w:spacing w:before="0" w:beforeAutospacing="0" w:after="0" w:afterAutospacing="0" w:line="600" w:lineRule="exact"/>
        <w:jc w:val="center"/>
        <w:outlineLvl w:val="1"/>
        <w:rPr>
          <w:rFonts w:hint="eastAsia"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t>202</w:t>
      </w:r>
      <w:r>
        <w:rPr>
          <w:rFonts w:hint="eastAsia" w:ascii="Times New Roman" w:hAnsi="Times New Roman" w:eastAsia="方正小标宋简体" w:cs="方正小标宋简体"/>
          <w:sz w:val="52"/>
          <w:szCs w:val="52"/>
          <w:lang w:val="en-US" w:eastAsia="zh-CN" w:bidi="ar"/>
        </w:rPr>
        <w:t>4</w:t>
      </w:r>
      <w:r>
        <w:rPr>
          <w:rFonts w:hint="eastAsia" w:ascii="Times New Roman" w:hAnsi="Times New Roman" w:eastAsia="方正小标宋简体" w:cs="方正小标宋简体"/>
          <w:sz w:val="52"/>
          <w:szCs w:val="52"/>
          <w:lang w:bidi="ar"/>
        </w:rPr>
        <w:t>年</w:t>
      </w:r>
      <w:r>
        <w:rPr>
          <w:rFonts w:hint="eastAsia" w:ascii="Times New Roman" w:hAnsi="Times New Roman" w:eastAsia="方正小标宋简体" w:cs="方正小标宋简体"/>
          <w:sz w:val="52"/>
          <w:szCs w:val="52"/>
          <w:lang w:eastAsia="zh-CN" w:bidi="ar"/>
        </w:rPr>
        <w:t>单位</w:t>
      </w:r>
      <w:r>
        <w:rPr>
          <w:rFonts w:hint="eastAsia" w:ascii="Times New Roman" w:hAnsi="Times New Roman" w:eastAsia="方正小标宋简体" w:cs="方正小标宋简体"/>
          <w:sz w:val="52"/>
          <w:szCs w:val="52"/>
          <w:lang w:bidi="ar"/>
        </w:rPr>
        <w:t>预算情况说明</w:t>
      </w:r>
    </w:p>
    <w:p>
      <w:pPr>
        <w:pStyle w:val="4"/>
        <w:widowControl/>
        <w:spacing w:before="0" w:beforeAutospacing="0" w:after="0" w:afterAutospacing="0" w:line="600" w:lineRule="exact"/>
        <w:ind w:firstLine="640" w:firstLineChars="200"/>
        <w:jc w:val="both"/>
        <w:rPr>
          <w:rFonts w:hint="eastAsia" w:ascii="Times New Roman" w:hAnsi="Times New Roman" w:eastAsia="黑体"/>
          <w:sz w:val="32"/>
          <w:szCs w:val="32"/>
        </w:rPr>
        <w:sectPr>
          <w:footerReference r:id="rId7" w:type="default"/>
          <w:pgSz w:w="11906" w:h="16838"/>
          <w:pgMar w:top="1440" w:right="1800" w:bottom="1440" w:left="1800" w:header="720" w:footer="720" w:gutter="0"/>
          <w:pgNumType w:fmt="numberInDash"/>
          <w:cols w:space="720" w:num="1"/>
          <w:docGrid w:type="lines" w:linePitch="312" w:charSpace="0"/>
        </w:sectPr>
      </w:pPr>
    </w:p>
    <w:p>
      <w:pPr>
        <w:pStyle w:val="4"/>
        <w:widowControl/>
        <w:spacing w:before="0" w:beforeAutospacing="0" w:after="0" w:afterAutospacing="0" w:line="600" w:lineRule="exact"/>
        <w:ind w:firstLine="640" w:firstLineChars="200"/>
        <w:jc w:val="both"/>
        <w:outlineLvl w:val="1"/>
        <w:rPr>
          <w:rFonts w:hint="eastAsia" w:ascii="Times New Roman" w:hAnsi="Times New Roman" w:eastAsia="黑体"/>
          <w:sz w:val="32"/>
          <w:szCs w:val="32"/>
        </w:rPr>
      </w:pPr>
      <w:r>
        <w:rPr>
          <w:rFonts w:hint="eastAsia" w:ascii="Times New Roman" w:hAnsi="Times New Roman" w:eastAsia="黑体"/>
          <w:sz w:val="32"/>
          <w:szCs w:val="32"/>
        </w:rPr>
        <w:t>一、收支预算情况说明</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（一）收入预算情况</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乐山市奥林匹克学校</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年收入预算</w:t>
      </w:r>
      <w:r>
        <w:rPr>
          <w:rFonts w:hint="eastAsia" w:ascii="Times New Roman" w:hAnsi="Times New Roman" w:eastAsia="仿宋_GB2312"/>
          <w:sz w:val="32"/>
          <w:szCs w:val="32"/>
          <w:lang w:val="en-US" w:eastAsia="zh-CN"/>
        </w:rPr>
        <w:t>684.5</w:t>
      </w:r>
      <w:r>
        <w:rPr>
          <w:rFonts w:hint="eastAsia" w:ascii="Times New Roman" w:hAnsi="Times New Roman" w:eastAsia="仿宋_GB2312"/>
          <w:sz w:val="32"/>
          <w:szCs w:val="32"/>
        </w:rPr>
        <w:t>万元一般公共预算拨款收入</w:t>
      </w:r>
      <w:r>
        <w:rPr>
          <w:rFonts w:hint="eastAsia" w:ascii="Times New Roman" w:hAnsi="Times New Roman" w:eastAsia="仿宋_GB2312"/>
          <w:sz w:val="32"/>
          <w:szCs w:val="32"/>
          <w:lang w:val="en-US" w:eastAsia="zh-CN"/>
        </w:rPr>
        <w:t>684.5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（二）支出预算情况</w:t>
      </w:r>
    </w:p>
    <w:p>
      <w:pPr>
        <w:spacing w:line="580" w:lineRule="exact"/>
        <w:ind w:firstLine="640" w:firstLineChars="200"/>
        <w:rPr>
          <w:rFonts w:hint="eastAsia" w:ascii="Times New Roman" w:hAnsi="Times New Roman" w:eastAsia="仿宋_GB2312"/>
          <w:sz w:val="32"/>
          <w:szCs w:val="32"/>
          <w:u w:val="single"/>
          <w:lang w:val="en-US" w:eastAsia="zh-CN"/>
        </w:rPr>
      </w:pPr>
      <w:r>
        <w:rPr>
          <w:rFonts w:hint="eastAsia" w:ascii="Times New Roman" w:hAnsi="Times New Roman" w:eastAsia="仿宋_GB2312"/>
          <w:sz w:val="32"/>
          <w:szCs w:val="32"/>
          <w:lang w:val="en-US" w:eastAsia="zh-CN"/>
        </w:rPr>
        <w:t>乐山市奥林匹克学校</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年支出预算</w:t>
      </w:r>
      <w:r>
        <w:rPr>
          <w:rFonts w:hint="eastAsia" w:ascii="Times New Roman" w:hAnsi="Times New Roman" w:eastAsia="仿宋_GB2312"/>
          <w:sz w:val="32"/>
          <w:szCs w:val="32"/>
          <w:lang w:val="en-US" w:eastAsia="zh-CN"/>
        </w:rPr>
        <w:t>684.5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646.7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94.48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5.52%。</w:t>
      </w: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二、财政拨款收支预算情况说明</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乐山市奥林匹克学校</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年财政拨款收支预算总数</w:t>
      </w:r>
      <w:r>
        <w:rPr>
          <w:rFonts w:hint="eastAsia" w:ascii="Times New Roman" w:hAnsi="Times New Roman" w:eastAsia="仿宋_GB2312"/>
          <w:sz w:val="32"/>
          <w:szCs w:val="32"/>
          <w:lang w:val="en-US" w:eastAsia="zh-CN"/>
        </w:rPr>
        <w:t>646.7</w:t>
      </w:r>
      <w:r>
        <w:rPr>
          <w:rFonts w:hint="eastAsia" w:ascii="Times New Roman" w:hAnsi="Times New Roman" w:eastAsia="仿宋_GB2312"/>
          <w:sz w:val="32"/>
          <w:szCs w:val="32"/>
        </w:rPr>
        <w:t>万元,比202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年财政拨款收支预算总数</w:t>
      </w:r>
      <w:r>
        <w:rPr>
          <w:rFonts w:hint="eastAsia" w:ascii="Times New Roman" w:hAnsi="Times New Roman" w:eastAsia="仿宋_GB2312"/>
          <w:sz w:val="32"/>
          <w:szCs w:val="32"/>
          <w:u w:val="single"/>
          <w:lang w:val="en-US" w:eastAsia="zh-CN"/>
        </w:rPr>
        <w:t>减少</w:t>
      </w:r>
      <w:r>
        <w:rPr>
          <w:rFonts w:hint="eastAsia" w:ascii="Times New Roman" w:hAnsi="Times New Roman" w:eastAsia="仿宋_GB2312"/>
          <w:sz w:val="32"/>
          <w:szCs w:val="32"/>
          <w:lang w:val="en-US" w:eastAsia="zh-CN"/>
        </w:rPr>
        <w:t>21.61</w:t>
      </w:r>
      <w:r>
        <w:rPr>
          <w:rFonts w:hint="eastAsia" w:ascii="Times New Roman" w:hAnsi="Times New Roman" w:eastAsia="仿宋_GB2312"/>
          <w:sz w:val="32"/>
          <w:szCs w:val="32"/>
        </w:rPr>
        <w:t>万元，主要原因是</w:t>
      </w:r>
      <w:r>
        <w:rPr>
          <w:rFonts w:hint="eastAsia" w:ascii="Times New Roman" w:hAnsi="Times New Roman" w:eastAsia="仿宋_GB2312"/>
          <w:sz w:val="32"/>
          <w:szCs w:val="32"/>
          <w:lang w:val="en-US" w:eastAsia="zh-CN"/>
        </w:rPr>
        <w:t>人员减少</w:t>
      </w:r>
      <w:r>
        <w:rPr>
          <w:rFonts w:hint="eastAsia" w:ascii="Times New Roman" w:hAnsi="Times New Roman" w:eastAsia="仿宋_GB2312"/>
          <w:sz w:val="32"/>
          <w:szCs w:val="32"/>
        </w:rPr>
        <w:t>。</w:t>
      </w:r>
    </w:p>
    <w:p>
      <w:pPr>
        <w:spacing w:line="580" w:lineRule="exact"/>
        <w:ind w:firstLine="640" w:firstLineChars="200"/>
        <w:rPr>
          <w:rFonts w:hint="eastAsia" w:ascii="Times New Roman" w:hAnsi="Times New Roman" w:eastAsia="仿宋_GB2312"/>
          <w:sz w:val="32"/>
          <w:szCs w:val="32"/>
        </w:rPr>
        <w:sectPr>
          <w:footerReference r:id="rId8" w:type="default"/>
          <w:pgSz w:w="11906" w:h="16838"/>
          <w:pgMar w:top="1440" w:right="1800" w:bottom="1440" w:left="1800" w:header="720" w:footer="720" w:gutter="0"/>
          <w:pgNumType w:fmt="numberInDash" w:start="3"/>
          <w:cols w:space="720" w:num="1"/>
          <w:docGrid w:type="lines" w:linePitch="312" w:charSpace="0"/>
        </w:sectPr>
      </w:pP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三、一般公共预算当年拨款情况说明</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（一）一般公共预算当年拨款规模变化情况</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乐山市奥林匹克学校</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年一般公共预算当年拨款</w:t>
      </w:r>
      <w:r>
        <w:rPr>
          <w:rFonts w:hint="eastAsia" w:ascii="Times New Roman" w:hAnsi="Times New Roman" w:eastAsia="仿宋_GB2312"/>
          <w:sz w:val="32"/>
          <w:szCs w:val="32"/>
          <w:lang w:val="en-US" w:eastAsia="zh-CN"/>
        </w:rPr>
        <w:t>684.5</w:t>
      </w:r>
      <w:r>
        <w:rPr>
          <w:rFonts w:hint="eastAsia" w:ascii="Times New Roman" w:hAnsi="Times New Roman" w:eastAsia="仿宋_GB2312"/>
          <w:sz w:val="32"/>
          <w:szCs w:val="32"/>
        </w:rPr>
        <w:t>万元，比202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年预算数</w:t>
      </w:r>
      <w:r>
        <w:rPr>
          <w:rFonts w:hint="eastAsia" w:ascii="Times New Roman" w:hAnsi="Times New Roman" w:eastAsia="仿宋_GB2312"/>
          <w:sz w:val="32"/>
          <w:szCs w:val="32"/>
          <w:u w:val="single"/>
        </w:rPr>
        <w:t>减少</w:t>
      </w:r>
      <w:r>
        <w:rPr>
          <w:rFonts w:hint="eastAsia" w:ascii="Times New Roman" w:hAnsi="Times New Roman" w:eastAsia="仿宋_GB2312"/>
          <w:sz w:val="32"/>
          <w:szCs w:val="32"/>
          <w:lang w:val="en-US" w:eastAsia="zh-CN"/>
        </w:rPr>
        <w:t>21.61</w:t>
      </w:r>
      <w:r>
        <w:rPr>
          <w:rFonts w:hint="eastAsia" w:ascii="Times New Roman" w:hAnsi="Times New Roman" w:eastAsia="仿宋_GB2312"/>
          <w:sz w:val="32"/>
          <w:szCs w:val="32"/>
        </w:rPr>
        <w:t>万元，主要原因是</w:t>
      </w:r>
      <w:r>
        <w:rPr>
          <w:rFonts w:hint="eastAsia" w:ascii="Times New Roman" w:hAnsi="Times New Roman" w:eastAsia="仿宋_GB2312"/>
          <w:sz w:val="32"/>
          <w:szCs w:val="32"/>
          <w:lang w:val="en-US" w:eastAsia="zh-CN"/>
        </w:rPr>
        <w:t>人员减少</w:t>
      </w:r>
      <w:r>
        <w:rPr>
          <w:rFonts w:hint="eastAsia" w:ascii="Times New Roman" w:hAnsi="Times New Roman" w:eastAsia="仿宋_GB2312"/>
          <w:sz w:val="32"/>
          <w:szCs w:val="32"/>
        </w:rPr>
        <w:t>。</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（二）一般公共预算当年拨款结构情况</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初中教育支出507.35万元占74</w:t>
      </w:r>
      <w:r>
        <w:rPr>
          <w:rFonts w:hint="eastAsia" w:ascii="Times New Roman" w:hAnsi="Times New Roman" w:eastAsia="仿宋_GB2312"/>
          <w:sz w:val="32"/>
          <w:szCs w:val="32"/>
        </w:rPr>
        <w:t>%；机关事业单位基本养老保险缴费支出</w:t>
      </w:r>
      <w:r>
        <w:rPr>
          <w:rFonts w:hint="eastAsia" w:ascii="Times New Roman" w:hAnsi="Times New Roman" w:eastAsia="仿宋_GB2312"/>
          <w:sz w:val="32"/>
          <w:szCs w:val="32"/>
          <w:lang w:val="en-US" w:eastAsia="zh-CN"/>
        </w:rPr>
        <w:t>64.48万元占9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；机关事业单位职业年金缴费支出</w:t>
      </w:r>
      <w:r>
        <w:rPr>
          <w:rFonts w:hint="eastAsia" w:ascii="Times New Roman" w:hAnsi="Times New Roman" w:eastAsia="仿宋_GB2312"/>
          <w:sz w:val="32"/>
          <w:szCs w:val="32"/>
          <w:lang w:val="en-US" w:eastAsia="zh-CN"/>
        </w:rPr>
        <w:t>32.24万元占5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；其他社会保障和就业支出</w:t>
      </w:r>
      <w:r>
        <w:rPr>
          <w:rFonts w:hint="eastAsia" w:ascii="Times New Roman" w:hAnsi="Times New Roman" w:eastAsia="仿宋_GB2312"/>
          <w:sz w:val="32"/>
          <w:szCs w:val="32"/>
          <w:lang w:val="en-US" w:eastAsia="zh-CN"/>
        </w:rPr>
        <w:t>8.28万元占1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；事业单位医疗</w:t>
      </w:r>
      <w:r>
        <w:rPr>
          <w:rFonts w:hint="eastAsia" w:ascii="Times New Roman" w:hAnsi="Times New Roman" w:eastAsia="仿宋_GB2312"/>
          <w:sz w:val="32"/>
          <w:szCs w:val="32"/>
          <w:lang w:val="en-US" w:eastAsia="zh-CN"/>
        </w:rPr>
        <w:t>20.6万元占3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lang w:val="en-US" w:eastAsia="zh-CN"/>
        </w:rPr>
        <w:t>51.55万元占8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（三）一般公共预算当年拨款具体使用情况</w:t>
      </w:r>
    </w:p>
    <w:p>
      <w:pPr>
        <w:pStyle w:val="12"/>
        <w:numPr>
          <w:ilvl w:val="2"/>
          <w:numId w:val="4"/>
        </w:numPr>
        <w:tabs>
          <w:tab w:val="left" w:pos="1163"/>
        </w:tabs>
        <w:spacing w:before="171" w:after="0" w:line="338" w:lineRule="auto"/>
        <w:ind w:left="280" w:right="277" w:firstLine="640"/>
        <w:jc w:val="both"/>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教育支出（类）普通教育（款）初中教育（项）2024 年预算数为507.35万元，主要用于：乐山市奥林匹克学校人员工资福利支出和日常公用经费支出。</w:t>
      </w:r>
    </w:p>
    <w:p>
      <w:pPr>
        <w:pStyle w:val="13"/>
        <w:rPr>
          <w:rFonts w:hint="eastAsia"/>
        </w:rPr>
      </w:pPr>
      <w:r>
        <w:rPr>
          <w:rFonts w:hint="eastAsia"/>
          <w:lang w:val="en-US" w:eastAsia="zh-CN"/>
        </w:rPr>
        <w:t>2</w:t>
      </w:r>
      <w:r>
        <w:rPr>
          <w:rFonts w:hint="eastAsia"/>
        </w:rPr>
        <w:t>.社会保障和就业（类）行政事业单位离退休（款）机关事业单位基本养老保险缴费支出（项）:202</w:t>
      </w:r>
      <w:r>
        <w:rPr>
          <w:rFonts w:hint="eastAsia"/>
          <w:lang w:val="en-US" w:eastAsia="zh-CN"/>
        </w:rPr>
        <w:t>4</w:t>
      </w:r>
      <w:r>
        <w:rPr>
          <w:rFonts w:hint="eastAsia"/>
        </w:rPr>
        <w:t>年预算数为</w:t>
      </w:r>
      <w:r>
        <w:rPr>
          <w:rFonts w:hint="eastAsia"/>
          <w:lang w:val="en-US" w:eastAsia="zh-CN"/>
        </w:rPr>
        <w:t>64.48</w:t>
      </w:r>
      <w:r>
        <w:rPr>
          <w:rFonts w:hint="eastAsia"/>
        </w:rPr>
        <w:t>万元，主要用于：实施养老保险制度后，</w:t>
      </w:r>
      <w:r>
        <w:rPr>
          <w:rFonts w:hint="eastAsia"/>
          <w:lang w:val="en-US" w:eastAsia="zh-CN"/>
        </w:rPr>
        <w:t>单位</w:t>
      </w:r>
      <w:r>
        <w:rPr>
          <w:rFonts w:hint="eastAsia"/>
        </w:rPr>
        <w:t>按规定由单位缴纳的基本养老保险费支出。</w:t>
      </w:r>
    </w:p>
    <w:p>
      <w:pPr>
        <w:pStyle w:val="13"/>
        <w:rPr>
          <w:rFonts w:hint="eastAsia"/>
        </w:rPr>
      </w:pPr>
      <w:r>
        <w:rPr>
          <w:rFonts w:hint="eastAsia"/>
          <w:lang w:val="en-US" w:eastAsia="zh-CN"/>
        </w:rPr>
        <w:t>3</w:t>
      </w:r>
      <w:r>
        <w:rPr>
          <w:rFonts w:hint="eastAsia"/>
        </w:rPr>
        <w:t>.社会保障和就业（类）行政事业单位离退休（款）机关事业单位职业年金缴费支出（项）:202</w:t>
      </w:r>
      <w:r>
        <w:rPr>
          <w:rFonts w:hint="eastAsia"/>
          <w:lang w:val="en-US" w:eastAsia="zh-CN"/>
        </w:rPr>
        <w:t>4</w:t>
      </w:r>
      <w:r>
        <w:rPr>
          <w:rFonts w:hint="eastAsia"/>
        </w:rPr>
        <w:t>年预算数为</w:t>
      </w:r>
      <w:r>
        <w:rPr>
          <w:rFonts w:hint="eastAsia"/>
          <w:lang w:val="en-US" w:eastAsia="zh-CN"/>
        </w:rPr>
        <w:t>32.24</w:t>
      </w:r>
      <w:r>
        <w:rPr>
          <w:rFonts w:hint="eastAsia"/>
        </w:rPr>
        <w:t>万元，主要用于：实施养老保险制度后，</w:t>
      </w:r>
      <w:r>
        <w:rPr>
          <w:rFonts w:hint="eastAsia"/>
          <w:lang w:val="en-US" w:eastAsia="zh-CN"/>
        </w:rPr>
        <w:t>单位</w:t>
      </w:r>
      <w:r>
        <w:rPr>
          <w:rFonts w:hint="eastAsia"/>
        </w:rPr>
        <w:t>按规定由单位缴纳的职业年金支出。</w:t>
      </w:r>
    </w:p>
    <w:p>
      <w:pPr>
        <w:pStyle w:val="13"/>
        <w:rPr>
          <w:rFonts w:hint="eastAsia"/>
        </w:rPr>
      </w:pPr>
      <w:r>
        <w:rPr>
          <w:rFonts w:hint="eastAsia"/>
          <w:lang w:val="en-US" w:eastAsia="zh-CN"/>
        </w:rPr>
        <w:t>4</w:t>
      </w:r>
      <w:r>
        <w:rPr>
          <w:rFonts w:hint="eastAsia"/>
        </w:rPr>
        <w:t>.医疗卫生与计划生育（类）行政事业单位医疗（款）事业单位医疗（项）:202</w:t>
      </w:r>
      <w:r>
        <w:rPr>
          <w:rFonts w:hint="eastAsia"/>
          <w:lang w:val="en-US" w:eastAsia="zh-CN"/>
        </w:rPr>
        <w:t>4</w:t>
      </w:r>
      <w:r>
        <w:rPr>
          <w:rFonts w:hint="eastAsia"/>
        </w:rPr>
        <w:t>年预算数为</w:t>
      </w:r>
      <w:r>
        <w:rPr>
          <w:rFonts w:hint="eastAsia"/>
          <w:lang w:val="en-US" w:eastAsia="zh-CN"/>
        </w:rPr>
        <w:t>20.6</w:t>
      </w:r>
      <w:r>
        <w:rPr>
          <w:rFonts w:hint="eastAsia"/>
        </w:rPr>
        <w:t>万元，主要用于：单位基本医疗保险缴费支出。</w:t>
      </w:r>
    </w:p>
    <w:p>
      <w:pPr>
        <w:pStyle w:val="13"/>
      </w:pPr>
      <w:r>
        <w:rPr>
          <w:rFonts w:hint="eastAsia"/>
          <w:lang w:val="en-US" w:eastAsia="zh-CN"/>
        </w:rPr>
        <w:t>5</w:t>
      </w:r>
      <w:r>
        <w:rPr>
          <w:rFonts w:hint="eastAsia"/>
        </w:rPr>
        <w:t>.住房保障（类）住房改革支出（款）住房公积金（项）:202</w:t>
      </w:r>
      <w:r>
        <w:rPr>
          <w:rFonts w:hint="eastAsia"/>
          <w:lang w:val="en-US" w:eastAsia="zh-CN"/>
        </w:rPr>
        <w:t>4</w:t>
      </w:r>
      <w:r>
        <w:rPr>
          <w:rFonts w:hint="eastAsia"/>
        </w:rPr>
        <w:t>年预算数为</w:t>
      </w:r>
      <w:r>
        <w:rPr>
          <w:rFonts w:hint="eastAsia"/>
          <w:lang w:val="en-US" w:eastAsia="zh-CN"/>
        </w:rPr>
        <w:t>51.55</w:t>
      </w:r>
      <w:r>
        <w:rPr>
          <w:rFonts w:hint="eastAsia"/>
        </w:rPr>
        <w:t>万元，主要用于：</w:t>
      </w:r>
      <w:r>
        <w:rPr>
          <w:rFonts w:hint="eastAsia"/>
          <w:lang w:val="en-US" w:eastAsia="zh-CN"/>
        </w:rPr>
        <w:t>单位</w:t>
      </w:r>
      <w:r>
        <w:rPr>
          <w:rFonts w:hint="eastAsia"/>
        </w:rPr>
        <w:t>按人力资源和社会保障部、财政部规定的基本工资和津贴补贴以及规定比例为职工缴纳的住房公积金支出。</w:t>
      </w: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四、一般公共预算基本支出情况说明</w:t>
      </w:r>
    </w:p>
    <w:p>
      <w:pPr>
        <w:pStyle w:val="13"/>
        <w:rPr>
          <w:rFonts w:hint="eastAsia"/>
        </w:rPr>
      </w:pPr>
      <w:r>
        <w:rPr>
          <w:rFonts w:hint="eastAsia"/>
          <w:lang w:val="en-US" w:eastAsia="zh-CN"/>
        </w:rPr>
        <w:t>乐山市奥林匹克学校</w:t>
      </w:r>
      <w:r>
        <w:rPr>
          <w:rFonts w:hint="eastAsia"/>
        </w:rPr>
        <w:t>202</w:t>
      </w:r>
      <w:r>
        <w:rPr>
          <w:rFonts w:hint="eastAsia"/>
          <w:lang w:val="en-US" w:eastAsia="zh-CN"/>
        </w:rPr>
        <w:t>4</w:t>
      </w:r>
      <w:r>
        <w:rPr>
          <w:rFonts w:hint="eastAsia"/>
        </w:rPr>
        <w:t>年一般公共预算基本支出</w:t>
      </w:r>
      <w:r>
        <w:rPr>
          <w:rFonts w:hint="eastAsia"/>
          <w:lang w:val="en-US" w:eastAsia="zh-CN"/>
        </w:rPr>
        <w:t>646.7</w:t>
      </w:r>
      <w:r>
        <w:rPr>
          <w:rFonts w:hint="eastAsia"/>
        </w:rPr>
        <w:t>万元，其中：</w:t>
      </w:r>
    </w:p>
    <w:p>
      <w:pPr>
        <w:pStyle w:val="13"/>
        <w:rPr>
          <w:rFonts w:hint="eastAsia"/>
        </w:rPr>
      </w:pPr>
      <w:r>
        <w:rPr>
          <w:rFonts w:hint="eastAsia"/>
        </w:rPr>
        <w:t>人员经费</w:t>
      </w:r>
      <w:r>
        <w:rPr>
          <w:rFonts w:hint="eastAsia"/>
          <w:lang w:val="en-US" w:eastAsia="zh-CN"/>
        </w:rPr>
        <w:t>580.17</w:t>
      </w:r>
      <w:r>
        <w:rPr>
          <w:rFonts w:hint="eastAsia"/>
        </w:rPr>
        <w:t>万元，主要包括：基本工资、津贴补贴、奖金、社会保险缴费、绩效工资、机关事业单位基本养老保险缴费、职业年金缴费、其他工资福利支出、离休费、住房公积金、其他对个人和家庭的补助支出。</w:t>
      </w:r>
    </w:p>
    <w:p>
      <w:pPr>
        <w:spacing w:line="58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公用经费</w:t>
      </w:r>
      <w:r>
        <w:rPr>
          <w:rFonts w:hint="eastAsia" w:ascii="仿宋_GB2312" w:eastAsia="仿宋_GB2312" w:cs="Times New Roman"/>
          <w:kern w:val="2"/>
          <w:sz w:val="32"/>
          <w:szCs w:val="32"/>
          <w:lang w:val="en-US" w:eastAsia="zh-CN" w:bidi="ar-SA"/>
        </w:rPr>
        <w:t>66.53</w:t>
      </w:r>
      <w:r>
        <w:rPr>
          <w:rFonts w:hint="eastAsia" w:ascii="仿宋_GB2312" w:hAnsi="Calibri" w:eastAsia="仿宋_GB2312" w:cs="Times New Roman"/>
          <w:kern w:val="2"/>
          <w:sz w:val="32"/>
          <w:szCs w:val="32"/>
          <w:lang w:val="en-US" w:eastAsia="zh-CN" w:bidi="ar-SA"/>
        </w:rPr>
        <w:t>万元，主要包括：办公费、印刷费、手续费、水费、电费、邮电费、差旅费、维修（护）费、会议费、培训费、劳务费、工会经费、福利费、其他交通费、其他商品和服务支出。</w:t>
      </w: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五、“三公”经费财政拨款预算安排情况说明</w:t>
      </w:r>
    </w:p>
    <w:p>
      <w:pPr>
        <w:pStyle w:val="13"/>
        <w:rPr>
          <w:rFonts w:hint="eastAsia"/>
        </w:rPr>
      </w:pPr>
      <w:r>
        <w:rPr>
          <w:rFonts w:hint="eastAsia"/>
          <w:lang w:val="en-US" w:eastAsia="zh-CN"/>
        </w:rPr>
        <w:t>乐山市奥林匹克学校</w:t>
      </w:r>
      <w:r>
        <w:rPr>
          <w:rFonts w:hint="eastAsia"/>
        </w:rPr>
        <w:t>202</w:t>
      </w:r>
      <w:r>
        <w:rPr>
          <w:rFonts w:hint="eastAsia"/>
          <w:lang w:val="en-US" w:eastAsia="zh-CN"/>
        </w:rPr>
        <w:t>4</w:t>
      </w:r>
      <w:r>
        <w:rPr>
          <w:rFonts w:hint="eastAsia"/>
        </w:rPr>
        <w:t>年“三公”经费预算数</w:t>
      </w:r>
      <w:r>
        <w:rPr>
          <w:rFonts w:hint="eastAsia"/>
          <w:lang w:val="en-US" w:eastAsia="zh-CN"/>
        </w:rPr>
        <w:t>3</w:t>
      </w:r>
      <w:r>
        <w:rPr>
          <w:rFonts w:hint="eastAsia"/>
        </w:rPr>
        <w:t>万元。其中财政拨款安排“三公”经费</w:t>
      </w:r>
      <w:r>
        <w:rPr>
          <w:rFonts w:hint="eastAsia"/>
          <w:lang w:val="en-US" w:eastAsia="zh-CN"/>
        </w:rPr>
        <w:t>3</w:t>
      </w:r>
      <w:r>
        <w:rPr>
          <w:rFonts w:hint="eastAsia"/>
        </w:rPr>
        <w:t>万元。公务用车购置及运行维护费</w:t>
      </w:r>
      <w:r>
        <w:rPr>
          <w:rFonts w:hint="eastAsia"/>
          <w:lang w:val="en-US" w:eastAsia="zh-CN"/>
        </w:rPr>
        <w:t>3</w:t>
      </w:r>
      <w:r>
        <w:rPr>
          <w:rFonts w:hint="eastAsia"/>
        </w:rPr>
        <w:t>万元。</w:t>
      </w:r>
    </w:p>
    <w:p>
      <w:pPr>
        <w:pStyle w:val="13"/>
      </w:pPr>
      <w:r>
        <w:rPr>
          <w:rFonts w:hint="eastAsia"/>
        </w:rPr>
        <w:t>公务用车购置及运行维护费较上年预算持平。</w:t>
      </w:r>
    </w:p>
    <w:p>
      <w:pPr>
        <w:pStyle w:val="13"/>
        <w:rPr>
          <w:rFonts w:hint="eastAsia"/>
        </w:rPr>
      </w:pPr>
      <w:r>
        <w:rPr>
          <w:rFonts w:hint="eastAsia"/>
        </w:rPr>
        <w:t>单位现有公务用车</w:t>
      </w:r>
      <w:r>
        <w:rPr>
          <w:rFonts w:hint="eastAsia"/>
          <w:lang w:val="en-US" w:eastAsia="zh-CN"/>
        </w:rPr>
        <w:t>1</w:t>
      </w:r>
      <w:r>
        <w:rPr>
          <w:rFonts w:hint="eastAsia"/>
        </w:rPr>
        <w:t>辆，其中：</w:t>
      </w:r>
      <w:r>
        <w:rPr>
          <w:rFonts w:hint="eastAsia"/>
          <w:lang w:val="en-US" w:eastAsia="zh-CN"/>
        </w:rPr>
        <w:t>特种专业技术用车1辆</w:t>
      </w:r>
      <w:r>
        <w:rPr>
          <w:rFonts w:hint="eastAsia"/>
        </w:rPr>
        <w:t>。</w:t>
      </w:r>
    </w:p>
    <w:p>
      <w:pPr>
        <w:pStyle w:val="13"/>
        <w:rPr>
          <w:rFonts w:hint="eastAsia"/>
        </w:rPr>
      </w:pPr>
      <w:r>
        <w:rPr>
          <w:rFonts w:hint="eastAsia"/>
        </w:rPr>
        <w:t>202</w:t>
      </w:r>
      <w:r>
        <w:rPr>
          <w:rFonts w:hint="eastAsia"/>
          <w:lang w:val="en-US" w:eastAsia="zh-CN"/>
        </w:rPr>
        <w:t>4</w:t>
      </w:r>
      <w:r>
        <w:rPr>
          <w:rFonts w:hint="eastAsia"/>
        </w:rPr>
        <w:t>年安排公务用车运行维护费</w:t>
      </w:r>
      <w:r>
        <w:rPr>
          <w:rFonts w:hint="eastAsia"/>
          <w:lang w:val="en-US" w:eastAsia="zh-CN"/>
        </w:rPr>
        <w:t>3</w:t>
      </w:r>
      <w:r>
        <w:rPr>
          <w:rFonts w:hint="eastAsia"/>
        </w:rPr>
        <w:t>万元，用于</w:t>
      </w:r>
      <w:r>
        <w:rPr>
          <w:rFonts w:hint="eastAsia"/>
          <w:lang w:val="en-US" w:eastAsia="zh-CN"/>
        </w:rPr>
        <w:t>车辆保险、加油及维修保养支出</w:t>
      </w:r>
      <w:r>
        <w:rPr>
          <w:rFonts w:hint="eastAsia"/>
        </w:rPr>
        <w:t>。</w:t>
      </w: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六、政府性基金预算支出情况说明</w:t>
      </w:r>
    </w:p>
    <w:p>
      <w:pPr>
        <w:pStyle w:val="13"/>
        <w:ind w:left="0" w:leftChars="0" w:firstLine="640" w:firstLineChars="200"/>
        <w:rPr>
          <w:rFonts w:hint="eastAsia"/>
        </w:rPr>
      </w:pPr>
      <w:r>
        <w:rPr>
          <w:rFonts w:hint="eastAsia"/>
        </w:rPr>
        <w:t>202</w:t>
      </w:r>
      <w:r>
        <w:rPr>
          <w:rFonts w:hint="eastAsia"/>
          <w:lang w:val="en-US" w:eastAsia="zh-CN"/>
        </w:rPr>
        <w:t>4</w:t>
      </w:r>
      <w:r>
        <w:rPr>
          <w:rFonts w:hint="eastAsia"/>
        </w:rPr>
        <w:t>年，</w:t>
      </w:r>
      <w:r>
        <w:rPr>
          <w:rFonts w:hint="eastAsia"/>
          <w:lang w:val="en-US" w:eastAsia="zh-CN"/>
        </w:rPr>
        <w:t>乐山市奥林匹克学校</w:t>
      </w:r>
      <w:r>
        <w:rPr>
          <w:rFonts w:hint="eastAsia"/>
        </w:rPr>
        <w:t>没有政府性基金预算支出。</w:t>
      </w: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七、国有资本经营预算情况说明</w:t>
      </w:r>
    </w:p>
    <w:p>
      <w:pPr>
        <w:spacing w:line="580" w:lineRule="exact"/>
        <w:ind w:firstLine="640" w:firstLineChars="200"/>
        <w:rPr>
          <w:rFonts w:hint="eastAsia" w:ascii="Times New Roman" w:hAnsi="Times New Roman" w:eastAsia="仿宋_GB2312"/>
          <w:sz w:val="32"/>
          <w:szCs w:val="32"/>
          <w:u w:val="singl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年没有使用国有资本经营预算拨款安排的支出。</w:t>
      </w: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八、其他重要事项的情况说明</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（一）机关运行经费情况</w:t>
      </w:r>
    </w:p>
    <w:p>
      <w:pPr>
        <w:spacing w:line="580" w:lineRule="exact"/>
        <w:ind w:firstLine="640"/>
        <w:rPr>
          <w:rFonts w:hint="eastAsia" w:ascii="Times New Roman" w:hAnsi="Times New Roman" w:eastAsia="仿宋_GB2312"/>
          <w:sz w:val="32"/>
          <w:szCs w:val="32"/>
          <w:u w:val="single"/>
        </w:rPr>
      </w:pPr>
      <w:r>
        <w:rPr>
          <w:rFonts w:hint="eastAsia" w:ascii="Times New Roman" w:hAnsi="Times New Roman" w:eastAsia="仿宋_GB2312"/>
          <w:sz w:val="32"/>
          <w:szCs w:val="32"/>
          <w:lang w:val="en-US" w:eastAsia="zh-CN"/>
        </w:rPr>
        <w:t>我校为事业单位，无在编人员</w:t>
      </w:r>
      <w:r>
        <w:rPr>
          <w:rFonts w:hint="eastAsia" w:ascii="Times New Roman" w:hAnsi="Times New Roman" w:eastAsia="仿宋_GB2312"/>
          <w:sz w:val="32"/>
          <w:szCs w:val="32"/>
        </w:rPr>
        <w:t>。</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w:t>
      </w:r>
      <w:r>
        <w:rPr>
          <w:rFonts w:hint="eastAsia" w:ascii="Times New Roman" w:hAnsi="Times New Roman" w:eastAsia="楷体_GB2312"/>
          <w:b/>
          <w:sz w:val="32"/>
          <w:szCs w:val="32"/>
          <w:lang w:val="en-US" w:eastAsia="zh-CN"/>
        </w:rPr>
        <w:t>二</w:t>
      </w:r>
      <w:r>
        <w:rPr>
          <w:rFonts w:hint="eastAsia" w:ascii="Times New Roman" w:hAnsi="Times New Roman" w:eastAsia="楷体_GB2312"/>
          <w:b/>
          <w:sz w:val="32"/>
          <w:szCs w:val="32"/>
        </w:rPr>
        <w:t>）国有资产占有使用情况</w:t>
      </w:r>
    </w:p>
    <w:p>
      <w:pPr>
        <w:pStyle w:val="13"/>
        <w:rPr>
          <w:rFonts w:hint="eastAsia"/>
        </w:rPr>
      </w:pPr>
      <w:r>
        <w:rPr>
          <w:rFonts w:hint="eastAsia"/>
        </w:rPr>
        <w:t>截至</w:t>
      </w:r>
      <w:r>
        <w:rPr>
          <w:rFonts w:hint="eastAsia"/>
          <w:lang w:val="en-US" w:eastAsia="zh-CN"/>
        </w:rPr>
        <w:t>2024年</w:t>
      </w:r>
      <w:r>
        <w:rPr>
          <w:rFonts w:hint="eastAsia"/>
        </w:rPr>
        <w:t>，</w:t>
      </w:r>
      <w:r>
        <w:rPr>
          <w:rFonts w:hint="eastAsia"/>
          <w:lang w:val="en-US" w:eastAsia="zh-CN"/>
        </w:rPr>
        <w:t>乐山市奥林匹克学校</w:t>
      </w:r>
      <w:r>
        <w:rPr>
          <w:rFonts w:hint="eastAsia"/>
        </w:rPr>
        <w:t>共有车辆</w:t>
      </w:r>
      <w:r>
        <w:rPr>
          <w:rFonts w:hint="eastAsia"/>
          <w:lang w:val="en-US" w:eastAsia="zh-CN"/>
        </w:rPr>
        <w:t>1</w:t>
      </w:r>
      <w:r>
        <w:rPr>
          <w:rFonts w:hint="eastAsia"/>
        </w:rPr>
        <w:t>辆。单位价值200万元以上大型设备</w:t>
      </w:r>
      <w:r>
        <w:rPr>
          <w:rFonts w:hint="eastAsia"/>
          <w:lang w:val="en-US" w:eastAsia="zh-CN"/>
        </w:rPr>
        <w:t>0</w:t>
      </w:r>
      <w:r>
        <w:rPr>
          <w:rFonts w:hint="eastAsia"/>
        </w:rPr>
        <w:t>台（套）。</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预算未安排购置车辆及单位价值200万元以上大型设备。</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（四）预算绩效情况</w:t>
      </w:r>
    </w:p>
    <w:p>
      <w:pPr>
        <w:spacing w:line="578"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乐山市奥林匹克学校</w:t>
      </w:r>
      <w:r>
        <w:rPr>
          <w:rFonts w:hint="eastAsia" w:ascii="Times New Roman" w:hAnsi="Times New Roman" w:eastAsia="仿宋_GB2312" w:cs="仿宋_GB2312"/>
          <w:sz w:val="32"/>
          <w:szCs w:val="32"/>
        </w:rPr>
        <w:t>开展绩效目标管理的项目</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个，涉及预算</w:t>
      </w:r>
      <w:r>
        <w:rPr>
          <w:rFonts w:hint="eastAsia" w:ascii="Times New Roman" w:hAnsi="Times New Roman" w:eastAsia="仿宋_GB2312" w:cs="仿宋_GB2312"/>
          <w:sz w:val="32"/>
          <w:szCs w:val="32"/>
          <w:lang w:val="en-US" w:eastAsia="zh-CN"/>
        </w:rPr>
        <w:t>37.8</w:t>
      </w:r>
      <w:r>
        <w:rPr>
          <w:rFonts w:hint="eastAsia" w:ascii="Times New Roman" w:hAnsi="Times New Roman" w:eastAsia="仿宋_GB2312" w:cs="仿宋_GB2312"/>
          <w:sz w:val="32"/>
          <w:szCs w:val="32"/>
        </w:rPr>
        <w:t>万元。其中：特定目标类项目</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个，涉及预算</w:t>
      </w:r>
      <w:r>
        <w:rPr>
          <w:rFonts w:hint="eastAsia" w:ascii="Times New Roman" w:hAnsi="Times New Roman" w:eastAsia="仿宋_GB2312" w:cs="仿宋_GB2312"/>
          <w:sz w:val="32"/>
          <w:szCs w:val="32"/>
          <w:lang w:val="en-US" w:eastAsia="zh-CN"/>
        </w:rPr>
        <w:t>37.8</w:t>
      </w:r>
      <w:r>
        <w:rPr>
          <w:rFonts w:hint="eastAsia" w:ascii="Times New Roman" w:hAnsi="Times New Roman" w:eastAsia="仿宋_GB2312" w:cs="仿宋_GB2312"/>
          <w:sz w:val="32"/>
          <w:szCs w:val="32"/>
        </w:rPr>
        <w:t>万元。</w:t>
      </w: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4"/>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jc w:val="center"/>
        <w:outlineLvl w:val="0"/>
        <w:rPr>
          <w:rFonts w:hint="eastAsia" w:ascii="Times New Roman" w:hAnsi="Times New Roman" w:eastAsia="方正小标宋简体" w:cs="方正小标宋简体"/>
          <w:kern w:val="0"/>
          <w:sz w:val="52"/>
          <w:szCs w:val="52"/>
          <w:lang w:bidi="ar"/>
        </w:rPr>
      </w:pPr>
    </w:p>
    <w:p>
      <w:pPr>
        <w:jc w:val="center"/>
        <w:outlineLvl w:val="0"/>
        <w:rPr>
          <w:rFonts w:hint="eastAsia" w:ascii="Times New Roman" w:hAnsi="Times New Roman" w:eastAsia="方正小标宋简体" w:cs="方正小标宋简体"/>
          <w:kern w:val="0"/>
          <w:sz w:val="52"/>
          <w:szCs w:val="52"/>
          <w:lang w:bidi="ar"/>
        </w:rPr>
      </w:pPr>
    </w:p>
    <w:p>
      <w:pPr>
        <w:jc w:val="center"/>
        <w:outlineLvl w:val="0"/>
        <w:rPr>
          <w:rFonts w:hint="eastAsia" w:ascii="Times New Roman" w:hAnsi="Times New Roman" w:eastAsia="方正小标宋简体" w:cs="方正小标宋简体"/>
          <w:kern w:val="0"/>
          <w:sz w:val="52"/>
          <w:szCs w:val="52"/>
          <w:lang w:bidi="ar"/>
        </w:rPr>
      </w:pPr>
    </w:p>
    <w:p>
      <w:pPr>
        <w:jc w:val="center"/>
        <w:outlineLvl w:val="0"/>
        <w:rPr>
          <w:rFonts w:hint="eastAsia" w:ascii="Times New Roman" w:hAnsi="Times New Roman" w:eastAsia="方正小标宋简体" w:cs="方正小标宋简体"/>
          <w:kern w:val="0"/>
          <w:sz w:val="52"/>
          <w:szCs w:val="52"/>
          <w:lang w:bidi="ar"/>
        </w:rPr>
      </w:pPr>
    </w:p>
    <w:p>
      <w:pPr>
        <w:jc w:val="center"/>
        <w:outlineLvl w:val="0"/>
        <w:rPr>
          <w:rFonts w:hint="eastAsia" w:ascii="Times New Roman" w:hAnsi="Times New Roman" w:eastAsia="方正小标宋简体" w:cs="方正小标宋简体"/>
          <w:kern w:val="0"/>
          <w:sz w:val="52"/>
          <w:szCs w:val="52"/>
          <w:lang w:bidi="ar"/>
        </w:rPr>
      </w:pPr>
    </w:p>
    <w:p>
      <w:pPr>
        <w:jc w:val="center"/>
        <w:outlineLvl w:val="0"/>
        <w:rPr>
          <w:rFonts w:ascii="Times New Roman" w:hAnsi="Times New Roman" w:eastAsia="方正小标宋简体" w:cs="方正小标宋简体"/>
          <w:kern w:val="0"/>
          <w:sz w:val="52"/>
          <w:szCs w:val="52"/>
          <w:lang w:bidi="ar"/>
        </w:rPr>
      </w:pPr>
      <w:r>
        <w:rPr>
          <w:rFonts w:hint="eastAsia" w:ascii="Times New Roman" w:hAnsi="Times New Roman" w:eastAsia="方正小标宋简体" w:cs="方正小标宋简体"/>
          <w:kern w:val="0"/>
          <w:sz w:val="52"/>
          <w:szCs w:val="52"/>
          <w:lang w:bidi="ar"/>
        </w:rPr>
        <w:t xml:space="preserve">第四部分  </w:t>
      </w:r>
      <w:r>
        <w:rPr>
          <w:rFonts w:ascii="Times New Roman" w:hAnsi="Times New Roman" w:eastAsia="方正小标宋简体" w:cs="方正小标宋简体"/>
          <w:kern w:val="0"/>
          <w:sz w:val="52"/>
          <w:szCs w:val="52"/>
          <w:lang w:bidi="ar"/>
        </w:rPr>
        <w:t>名词解释</w:t>
      </w:r>
    </w:p>
    <w:p>
      <w:pPr>
        <w:ind w:firstLine="640" w:firstLineChars="200"/>
        <w:rPr>
          <w:rFonts w:ascii="Times New Roman" w:hAnsi="Times New Roman" w:eastAsia="仿宋_GB2312"/>
          <w:sz w:val="32"/>
          <w:szCs w:val="32"/>
        </w:rPr>
        <w:sectPr>
          <w:footerReference r:id="rId9" w:type="default"/>
          <w:pgSz w:w="11906" w:h="16838"/>
          <w:pgMar w:top="1440" w:right="1800" w:bottom="1440" w:left="1800" w:header="720" w:footer="720" w:gutter="0"/>
          <w:pgNumType w:fmt="numberInDash"/>
          <w:cols w:space="720" w:num="1"/>
          <w:docGrid w:type="lines" w:linePitch="312" w:charSpace="0"/>
        </w:sectPr>
      </w:pPr>
    </w:p>
    <w:p>
      <w:pPr>
        <w:pStyle w:val="8"/>
        <w:ind w:left="210" w:right="210" w:firstLine="635"/>
        <w:rPr>
          <w:rFonts w:hint="eastAsia" w:ascii="Times New Roman" w:hAnsi="Times New Roman" w:eastAsia="仿宋_GB2312"/>
        </w:rPr>
      </w:pPr>
      <w:r>
        <w:rPr>
          <w:rFonts w:hint="eastAsia"/>
        </w:rPr>
        <w:t>财政拨款收支情况：</w:t>
      </w:r>
      <w:r>
        <w:rPr>
          <w:rFonts w:ascii="Times New Roman" w:hAnsi="Times New Roman" w:eastAsia="仿宋_GB2312"/>
        </w:rPr>
        <w:t>指</w:t>
      </w:r>
      <w:r>
        <w:rPr>
          <w:rFonts w:hint="eastAsia" w:ascii="Times New Roman" w:hAnsi="Times New Roman" w:eastAsia="仿宋_GB2312"/>
        </w:rPr>
        <w:t>一般公共预算、政府性基金预算、国有资本经营预算拨款收支情况。</w:t>
      </w:r>
    </w:p>
    <w:p>
      <w:pPr>
        <w:pStyle w:val="8"/>
        <w:ind w:left="210" w:right="210" w:firstLine="635"/>
        <w:rPr>
          <w:rFonts w:hint="eastAsia" w:ascii="Times New Roman" w:hAnsi="Times New Roman" w:eastAsia="仿宋_GB2312"/>
        </w:rPr>
      </w:pPr>
      <w:r>
        <w:rPr>
          <w:rFonts w:hint="eastAsia"/>
        </w:rPr>
        <w:t>一般公共预算拨款收入：</w:t>
      </w:r>
      <w:r>
        <w:rPr>
          <w:rFonts w:hint="eastAsia" w:ascii="Times New Roman" w:hAnsi="Times New Roman" w:eastAsia="仿宋_GB2312"/>
        </w:rPr>
        <w:t>指市级财政当年拨付的资金。</w:t>
      </w:r>
    </w:p>
    <w:p>
      <w:pPr>
        <w:pStyle w:val="8"/>
        <w:ind w:left="210" w:right="210" w:firstLine="635"/>
        <w:rPr>
          <w:rFonts w:hint="eastAsia" w:ascii="Times New Roman" w:hAnsi="Times New Roman" w:eastAsia="仿宋_GB2312"/>
        </w:rPr>
      </w:pPr>
      <w:r>
        <w:rPr>
          <w:rFonts w:hint="eastAsia"/>
        </w:rPr>
        <w:t>事业收入：</w:t>
      </w:r>
      <w:r>
        <w:rPr>
          <w:rFonts w:hint="eastAsia" w:ascii="Times New Roman" w:hAnsi="Times New Roman" w:eastAsia="仿宋_GB2312"/>
        </w:rPr>
        <w:t>指事业单位开展专业业务活动及辅助活动所取得的收入。</w:t>
      </w:r>
    </w:p>
    <w:p>
      <w:pPr>
        <w:pStyle w:val="8"/>
        <w:ind w:left="210" w:right="210" w:firstLine="635"/>
        <w:rPr>
          <w:rFonts w:hint="eastAsia" w:ascii="Times New Roman" w:hAnsi="Times New Roman" w:eastAsia="仿宋_GB2312"/>
        </w:rPr>
      </w:pPr>
      <w:r>
        <w:rPr>
          <w:rFonts w:hint="eastAsia"/>
        </w:rPr>
        <w:t>事业单位经营收入：</w:t>
      </w:r>
      <w:r>
        <w:rPr>
          <w:rFonts w:hint="eastAsia" w:ascii="Times New Roman" w:hAnsi="Times New Roman" w:eastAsia="仿宋_GB2312"/>
        </w:rPr>
        <w:t>指事业单位在专业业务活动及其辅助活动之外开展非独立核算经营活动取得的收入。</w:t>
      </w:r>
    </w:p>
    <w:p>
      <w:pPr>
        <w:pStyle w:val="8"/>
        <w:ind w:left="210" w:right="210" w:firstLine="635"/>
        <w:rPr>
          <w:rFonts w:hint="eastAsia" w:ascii="Times New Roman" w:hAnsi="Times New Roman" w:eastAsia="仿宋_GB2312"/>
        </w:rPr>
      </w:pPr>
      <w:r>
        <w:rPr>
          <w:rFonts w:hint="eastAsia"/>
        </w:rPr>
        <w:t>其他收入：</w:t>
      </w:r>
      <w:r>
        <w:rPr>
          <w:rFonts w:hint="eastAsia" w:ascii="Times New Roman" w:hAnsi="Times New Roman" w:eastAsia="仿宋_GB2312"/>
        </w:rPr>
        <w:t>指除上述“一般公共预算拨款收入”、“事业收入”、“事业单位经营收入”等以外的收入。</w:t>
      </w:r>
    </w:p>
    <w:p>
      <w:pPr>
        <w:pStyle w:val="8"/>
        <w:ind w:left="210" w:right="210" w:firstLine="635"/>
        <w:rPr>
          <w:rFonts w:hint="eastAsia" w:ascii="Times New Roman" w:hAnsi="Times New Roman" w:eastAsia="仿宋_GB2312"/>
        </w:rPr>
      </w:pPr>
      <w:r>
        <w:rPr>
          <w:rFonts w:hint="eastAsia"/>
        </w:rPr>
        <w:t>上年结转：</w:t>
      </w:r>
      <w:r>
        <w:rPr>
          <w:rFonts w:hint="eastAsia" w:ascii="Times New Roman" w:hAnsi="Times New Roman" w:eastAsia="仿宋_GB2312"/>
        </w:rPr>
        <w:t>指以前年度尚未完成，结转到本年仍按原规定用途继续使用的资金。</w:t>
      </w:r>
    </w:p>
    <w:p>
      <w:pPr>
        <w:pStyle w:val="8"/>
        <w:ind w:left="210" w:right="210" w:firstLine="635"/>
        <w:rPr>
          <w:rFonts w:hint="eastAsia" w:ascii="Times New Roman" w:hAnsi="Times New Roman" w:eastAsia="仿宋_GB2312"/>
        </w:rPr>
      </w:pPr>
      <w:r>
        <w:rPr>
          <w:rFonts w:hint="eastAsia"/>
        </w:rPr>
        <w:t>社会保障和就业（类）行政事业单位离退休（款）事业单位离退休（项）：</w:t>
      </w:r>
      <w:r>
        <w:rPr>
          <w:rFonts w:hint="eastAsia" w:ascii="Times New Roman" w:hAnsi="Times New Roman" w:eastAsia="仿宋_GB2312"/>
        </w:rPr>
        <w:t>指离退休人员的支出。</w:t>
      </w:r>
    </w:p>
    <w:p>
      <w:pPr>
        <w:pStyle w:val="8"/>
        <w:ind w:left="210" w:right="210" w:firstLine="635"/>
        <w:rPr>
          <w:rFonts w:hint="eastAsia" w:ascii="Times New Roman" w:hAnsi="Times New Roman" w:eastAsia="仿宋_GB2312"/>
        </w:rPr>
      </w:pPr>
      <w:r>
        <w:rPr>
          <w:rFonts w:hint="eastAsia"/>
        </w:rPr>
        <w:t>社会保障和就业（类）行政事业单位离退休（款）未归口管理的行政单位离退休（项）：</w:t>
      </w:r>
      <w:r>
        <w:rPr>
          <w:rFonts w:hint="eastAsia" w:ascii="Times New Roman" w:hAnsi="Times New Roman" w:eastAsia="仿宋_GB2312"/>
        </w:rPr>
        <w:t>指离退休人员的支出。</w:t>
      </w:r>
    </w:p>
    <w:p>
      <w:pPr>
        <w:pStyle w:val="8"/>
        <w:ind w:left="210" w:right="210" w:firstLine="635"/>
        <w:rPr>
          <w:rFonts w:hint="eastAsia"/>
        </w:rPr>
      </w:pPr>
      <w:r>
        <w:rPr>
          <w:rFonts w:hint="eastAsia"/>
        </w:rPr>
        <w:t>社会保障和就业（类）行政事业单位离退休（款）机关事业单位基本养老保险缴费支出（项）：</w:t>
      </w:r>
      <w:r>
        <w:rPr>
          <w:rFonts w:hint="eastAsia" w:ascii="Times New Roman" w:hAnsi="Times New Roman" w:eastAsia="仿宋_GB2312"/>
        </w:rPr>
        <w:t>指</w:t>
      </w:r>
      <w:r>
        <w:rPr>
          <w:rFonts w:hint="eastAsia" w:ascii="Times New Roman" w:hAnsi="Times New Roman" w:eastAsia="仿宋_GB2312"/>
          <w:lang w:eastAsia="zh-CN"/>
        </w:rPr>
        <w:t>单位</w:t>
      </w:r>
      <w:r>
        <w:rPr>
          <w:rFonts w:hint="eastAsia" w:ascii="Times New Roman" w:hAnsi="Times New Roman" w:eastAsia="仿宋_GB2312"/>
        </w:rPr>
        <w:t>实施养老保险制度由单位缴纳的养老保险费的支出。</w:t>
      </w:r>
    </w:p>
    <w:p>
      <w:pPr>
        <w:pStyle w:val="8"/>
        <w:ind w:left="210" w:right="210" w:firstLine="635"/>
        <w:rPr>
          <w:rFonts w:hint="eastAsia" w:ascii="Times New Roman" w:hAnsi="Times New Roman" w:eastAsia="仿宋_GB2312"/>
        </w:rPr>
      </w:pPr>
      <w:r>
        <w:rPr>
          <w:rFonts w:hint="eastAsia"/>
        </w:rPr>
        <w:t>社会保障和就业（类）行政事业单位离退休（款）机关事业单位职业年金缴费支出（项）：</w:t>
      </w:r>
      <w:r>
        <w:rPr>
          <w:rFonts w:hint="eastAsia" w:ascii="Times New Roman" w:hAnsi="Times New Roman" w:eastAsia="仿宋_GB2312"/>
        </w:rPr>
        <w:t>指</w:t>
      </w:r>
      <w:r>
        <w:rPr>
          <w:rFonts w:hint="eastAsia" w:ascii="Times New Roman" w:hAnsi="Times New Roman" w:eastAsia="仿宋_GB2312"/>
          <w:lang w:eastAsia="zh-CN"/>
        </w:rPr>
        <w:t>单位</w:t>
      </w:r>
      <w:r>
        <w:rPr>
          <w:rFonts w:hint="eastAsia" w:ascii="Times New Roman" w:hAnsi="Times New Roman" w:eastAsia="仿宋_GB2312"/>
        </w:rPr>
        <w:t>实施养老保险制度由单位缴纳的职业年金的支出。</w:t>
      </w:r>
    </w:p>
    <w:p>
      <w:pPr>
        <w:pStyle w:val="8"/>
        <w:ind w:left="210" w:right="210" w:firstLine="635"/>
        <w:rPr>
          <w:rFonts w:hint="eastAsia" w:ascii="Times New Roman" w:hAnsi="Times New Roman" w:eastAsia="仿宋_GB2312"/>
        </w:rPr>
      </w:pPr>
      <w:r>
        <w:rPr>
          <w:rFonts w:hint="eastAsia"/>
        </w:rPr>
        <w:t>社会保障和就业（类）其他社会保障和就业（款）其他社会保障和就业支出（项）：</w:t>
      </w:r>
      <w:r>
        <w:rPr>
          <w:rFonts w:hint="eastAsia" w:ascii="Times New Roman" w:hAnsi="Times New Roman" w:eastAsia="仿宋_GB2312"/>
        </w:rPr>
        <w:t>指除上述项目外，其他用于行政事业单位离退休方面的支出。</w:t>
      </w:r>
    </w:p>
    <w:p>
      <w:pPr>
        <w:pStyle w:val="8"/>
        <w:ind w:left="210" w:right="210" w:firstLine="635"/>
        <w:rPr>
          <w:rFonts w:hint="eastAsia" w:ascii="Times New Roman" w:hAnsi="Times New Roman" w:eastAsia="仿宋_GB2312"/>
        </w:rPr>
      </w:pPr>
      <w:r>
        <w:rPr>
          <w:rFonts w:hint="eastAsia"/>
        </w:rPr>
        <w:t>医疗卫生与计划生育（类）行政事业单位医疗（款）行政单位医疗（项）：</w:t>
      </w:r>
      <w:r>
        <w:rPr>
          <w:rFonts w:hint="eastAsia" w:ascii="Times New Roman" w:hAnsi="Times New Roman" w:eastAsia="仿宋_GB2312"/>
        </w:rPr>
        <w:t>指行政单位及参公管理事业单位用于缴纳单位基本医疗保险支出。</w:t>
      </w:r>
    </w:p>
    <w:p>
      <w:pPr>
        <w:pStyle w:val="8"/>
        <w:ind w:left="210" w:right="210" w:firstLine="635"/>
        <w:rPr>
          <w:rFonts w:hint="eastAsia" w:ascii="Times New Roman" w:hAnsi="Times New Roman" w:eastAsia="仿宋_GB2312"/>
        </w:rPr>
      </w:pPr>
      <w:r>
        <w:rPr>
          <w:rFonts w:hint="eastAsia"/>
        </w:rPr>
        <w:t>医疗卫生与计划生育（类）行政事业单位医疗（款）事业单位医疗（项）：</w:t>
      </w:r>
      <w:r>
        <w:rPr>
          <w:rFonts w:hint="eastAsia" w:ascii="Times New Roman" w:hAnsi="Times New Roman" w:eastAsia="仿宋_GB2312"/>
        </w:rPr>
        <w:t>指事业单位用于缴纳单位基本医疗保险支出。</w:t>
      </w:r>
    </w:p>
    <w:p>
      <w:pPr>
        <w:pStyle w:val="8"/>
        <w:ind w:left="210" w:right="210" w:firstLine="635"/>
        <w:rPr>
          <w:rFonts w:hint="eastAsia"/>
        </w:rPr>
      </w:pPr>
      <w:r>
        <w:rPr>
          <w:rFonts w:hint="eastAsia"/>
        </w:rPr>
        <w:t>医疗卫生与计划生育（类）行政事业单位医疗（款）公务员医疗补助（项）：</w:t>
      </w:r>
      <w:r>
        <w:rPr>
          <w:rFonts w:hint="eastAsia" w:ascii="Times New Roman" w:hAnsi="Times New Roman" w:eastAsia="仿宋_GB2312"/>
        </w:rPr>
        <w:t>指行政单位及参公管理事业单位用于集中缴纳公务员医疗补助支出。</w:t>
      </w:r>
    </w:p>
    <w:p>
      <w:pPr>
        <w:pStyle w:val="8"/>
        <w:ind w:left="210" w:right="210" w:firstLine="635"/>
        <w:rPr>
          <w:rFonts w:hint="eastAsia" w:ascii="Times New Roman" w:hAnsi="Times New Roman" w:eastAsia="仿宋_GB2312"/>
        </w:rPr>
      </w:pPr>
      <w:r>
        <w:rPr>
          <w:rFonts w:hint="eastAsia"/>
        </w:rPr>
        <w:t>住房保障（类）住房改革支出（款）住房公积金（项）：</w:t>
      </w:r>
      <w:r>
        <w:rPr>
          <w:rFonts w:hint="eastAsia" w:ascii="Times New Roman" w:hAnsi="Times New Roman" w:eastAsia="仿宋_GB2312"/>
        </w:rPr>
        <w:t>指由单位及其在职职工按规定缴存的住房公积金支出。</w:t>
      </w:r>
    </w:p>
    <w:p>
      <w:pPr>
        <w:pStyle w:val="8"/>
        <w:ind w:left="210" w:right="210" w:firstLine="635"/>
        <w:rPr>
          <w:rFonts w:hint="eastAsia" w:ascii="Times New Roman" w:hAnsi="Times New Roman" w:eastAsia="仿宋_GB2312"/>
        </w:rPr>
      </w:pPr>
      <w:r>
        <w:rPr>
          <w:rFonts w:hint="eastAsia"/>
        </w:rPr>
        <w:t>基本支出：</w:t>
      </w:r>
      <w:r>
        <w:rPr>
          <w:rFonts w:hint="eastAsia" w:ascii="Times New Roman" w:hAnsi="Times New Roman" w:eastAsia="仿宋_GB2312"/>
        </w:rPr>
        <w:t>指为保证机构正常运转，完成日常工作任务而发生的人员支出和公用支出。</w:t>
      </w:r>
    </w:p>
    <w:p>
      <w:pPr>
        <w:pStyle w:val="8"/>
        <w:ind w:left="210" w:right="210" w:firstLine="635"/>
        <w:rPr>
          <w:rFonts w:hint="eastAsia"/>
        </w:rPr>
      </w:pPr>
      <w:r>
        <w:rPr>
          <w:rFonts w:hint="eastAsia"/>
        </w:rPr>
        <w:t>项目支出：</w:t>
      </w:r>
      <w:r>
        <w:rPr>
          <w:rFonts w:hint="eastAsia" w:ascii="Times New Roman" w:hAnsi="Times New Roman" w:eastAsia="仿宋_GB2312"/>
        </w:rPr>
        <w:t>指在基本支出之外为完成特定行政任务和事业发展目标所发生的支出。</w:t>
      </w:r>
    </w:p>
    <w:p>
      <w:pPr>
        <w:pStyle w:val="8"/>
        <w:ind w:left="210" w:right="210" w:firstLine="635"/>
        <w:rPr>
          <w:rFonts w:ascii="Times New Roman" w:hAnsi="Times New Roman" w:eastAsia="仿宋_GB2312"/>
        </w:rPr>
      </w:pPr>
      <w:r>
        <w:rPr>
          <w:rFonts w:hint="eastAsia"/>
        </w:rPr>
        <w:t>三公经费：</w:t>
      </w:r>
      <w:r>
        <w:rPr>
          <w:rFonts w:hint="eastAsia" w:ascii="Times New Roman" w:hAnsi="Times New Roman" w:eastAsia="仿宋_GB2312"/>
        </w:rPr>
        <w:t>纳入预算管理的“三公”经费，是指</w:t>
      </w:r>
      <w:r>
        <w:rPr>
          <w:rFonts w:hint="eastAsia" w:ascii="Times New Roman" w:hAnsi="Times New Roman" w:eastAsia="仿宋_GB2312"/>
          <w:lang w:eastAsia="zh-CN"/>
        </w:rPr>
        <w:t>单位</w:t>
      </w:r>
      <w:r>
        <w:rPr>
          <w:rFonts w:hint="eastAsia" w:ascii="Times New Roman" w:hAnsi="Times New Roman" w:eastAsia="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sectPr>
      <w:footerReference r:id="rId10" w:type="default"/>
      <w:pgSz w:w="11906" w:h="16838"/>
      <w:pgMar w:top="1440" w:right="1800" w:bottom="1440" w:left="1800" w:header="720" w:footer="720" w:gutter="0"/>
      <w:pgNumType w:fmt="numberInDash"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Dialog . bold">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47CE9"/>
    <w:multiLevelType w:val="singleLevel"/>
    <w:tmpl w:val="ABF47CE9"/>
    <w:lvl w:ilvl="0" w:tentative="0">
      <w:start w:val="12"/>
      <w:numFmt w:val="chineseCounting"/>
      <w:suff w:val="nothing"/>
      <w:lvlText w:val="%1、"/>
      <w:lvlJc w:val="left"/>
      <w:rPr>
        <w:rFonts w:hint="eastAsia"/>
      </w:rPr>
    </w:lvl>
  </w:abstractNum>
  <w:abstractNum w:abstractNumId="1">
    <w:nsid w:val="B62E5D60"/>
    <w:multiLevelType w:val="singleLevel"/>
    <w:tmpl w:val="B62E5D60"/>
    <w:lvl w:ilvl="0" w:tentative="0">
      <w:start w:val="1"/>
      <w:numFmt w:val="chineseCounting"/>
      <w:suff w:val="nothing"/>
      <w:lvlText w:val="%1、"/>
      <w:lvlJc w:val="left"/>
      <w:rPr>
        <w:rFonts w:hint="eastAsia"/>
      </w:rPr>
    </w:lvl>
  </w:abstractNum>
  <w:abstractNum w:abstractNumId="2">
    <w:nsid w:val="CF092B84"/>
    <w:multiLevelType w:val="multilevel"/>
    <w:tmpl w:val="CF092B84"/>
    <w:lvl w:ilvl="0" w:tentative="0">
      <w:start w:val="52"/>
      <w:numFmt w:val="decimal"/>
      <w:lvlText w:val="%1"/>
      <w:lvlJc w:val="left"/>
      <w:pPr>
        <w:ind w:left="1002" w:hanging="723"/>
      </w:pPr>
      <w:rPr>
        <w:rFonts w:hint="default"/>
        <w:lang w:val="zh-CN" w:eastAsia="zh-CN" w:bidi="zh-CN"/>
      </w:rPr>
    </w:lvl>
    <w:lvl w:ilvl="1" w:tentative="0">
      <w:start w:val="68"/>
      <w:numFmt w:val="decimal"/>
      <w:lvlText w:val="%1.%2"/>
      <w:lvlJc w:val="left"/>
      <w:pPr>
        <w:ind w:left="1002" w:hanging="723"/>
      </w:pPr>
      <w:rPr>
        <w:rFonts w:hint="default" w:ascii="Times New Roman" w:hAnsi="Times New Roman" w:eastAsia="Times New Roman" w:cs="Times New Roman"/>
        <w:spacing w:val="-2"/>
        <w:w w:val="99"/>
        <w:sz w:val="30"/>
        <w:szCs w:val="30"/>
        <w:lang w:val="zh-CN" w:eastAsia="zh-CN" w:bidi="zh-CN"/>
      </w:rPr>
    </w:lvl>
    <w:lvl w:ilvl="2" w:tentative="0">
      <w:start w:val="1"/>
      <w:numFmt w:val="decimal"/>
      <w:lvlText w:val="%3."/>
      <w:lvlJc w:val="left"/>
      <w:pPr>
        <w:ind w:left="280" w:hanging="242"/>
      </w:pPr>
      <w:rPr>
        <w:rFonts w:hint="default"/>
        <w:spacing w:val="-1"/>
        <w:w w:val="99"/>
        <w:lang w:val="zh-CN" w:eastAsia="zh-CN" w:bidi="zh-CN"/>
      </w:rPr>
    </w:lvl>
    <w:lvl w:ilvl="3" w:tentative="0">
      <w:start w:val="0"/>
      <w:numFmt w:val="bullet"/>
      <w:lvlText w:val="•"/>
      <w:lvlJc w:val="left"/>
      <w:pPr>
        <w:ind w:left="2748" w:hanging="242"/>
      </w:pPr>
      <w:rPr>
        <w:rFonts w:hint="default"/>
        <w:lang w:val="zh-CN" w:eastAsia="zh-CN" w:bidi="zh-CN"/>
      </w:rPr>
    </w:lvl>
    <w:lvl w:ilvl="4" w:tentative="0">
      <w:start w:val="0"/>
      <w:numFmt w:val="bullet"/>
      <w:lvlText w:val="•"/>
      <w:lvlJc w:val="left"/>
      <w:pPr>
        <w:ind w:left="3622" w:hanging="242"/>
      </w:pPr>
      <w:rPr>
        <w:rFonts w:hint="default"/>
        <w:lang w:val="zh-CN" w:eastAsia="zh-CN" w:bidi="zh-CN"/>
      </w:rPr>
    </w:lvl>
    <w:lvl w:ilvl="5" w:tentative="0">
      <w:start w:val="0"/>
      <w:numFmt w:val="bullet"/>
      <w:lvlText w:val="•"/>
      <w:lvlJc w:val="left"/>
      <w:pPr>
        <w:ind w:left="4496" w:hanging="242"/>
      </w:pPr>
      <w:rPr>
        <w:rFonts w:hint="default"/>
        <w:lang w:val="zh-CN" w:eastAsia="zh-CN" w:bidi="zh-CN"/>
      </w:rPr>
    </w:lvl>
    <w:lvl w:ilvl="6" w:tentative="0">
      <w:start w:val="0"/>
      <w:numFmt w:val="bullet"/>
      <w:lvlText w:val="•"/>
      <w:lvlJc w:val="left"/>
      <w:pPr>
        <w:ind w:left="5370" w:hanging="242"/>
      </w:pPr>
      <w:rPr>
        <w:rFonts w:hint="default"/>
        <w:lang w:val="zh-CN" w:eastAsia="zh-CN" w:bidi="zh-CN"/>
      </w:rPr>
    </w:lvl>
    <w:lvl w:ilvl="7" w:tentative="0">
      <w:start w:val="0"/>
      <w:numFmt w:val="bullet"/>
      <w:lvlText w:val="•"/>
      <w:lvlJc w:val="left"/>
      <w:pPr>
        <w:ind w:left="6244" w:hanging="242"/>
      </w:pPr>
      <w:rPr>
        <w:rFonts w:hint="default"/>
        <w:lang w:val="zh-CN" w:eastAsia="zh-CN" w:bidi="zh-CN"/>
      </w:rPr>
    </w:lvl>
    <w:lvl w:ilvl="8" w:tentative="0">
      <w:start w:val="0"/>
      <w:numFmt w:val="bullet"/>
      <w:lvlText w:val="•"/>
      <w:lvlJc w:val="left"/>
      <w:pPr>
        <w:ind w:left="7118" w:hanging="242"/>
      </w:pPr>
      <w:rPr>
        <w:rFonts w:hint="default"/>
        <w:lang w:val="zh-CN" w:eastAsia="zh-CN" w:bidi="zh-CN"/>
      </w:rPr>
    </w:lvl>
  </w:abstractNum>
  <w:abstractNum w:abstractNumId="3">
    <w:nsid w:val="12073AA9"/>
    <w:multiLevelType w:val="multilevel"/>
    <w:tmpl w:val="12073AA9"/>
    <w:lvl w:ilvl="0" w:tentative="0">
      <w:start w:val="1"/>
      <w:numFmt w:val="chineseCountingThousand"/>
      <w:pStyle w:val="8"/>
      <w:lvlText w:val="(%1)"/>
      <w:lvlJc w:val="left"/>
      <w:pPr>
        <w:ind w:left="420" w:hanging="420"/>
      </w:pPr>
      <w:rPr>
        <w:rFonts w:hint="eastAsia" w:ascii="楷体_GB2312" w:eastAsia="楷体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NzlkZGVlYWViNWY4NTQyYmZhMTlhMDUwNmFkMWEifQ=="/>
  </w:docVars>
  <w:rsids>
    <w:rsidRoot w:val="2E830B90"/>
    <w:rsid w:val="2E830B90"/>
    <w:rsid w:val="2EAC3B40"/>
    <w:rsid w:val="32A66524"/>
    <w:rsid w:val="370A2F42"/>
    <w:rsid w:val="419E1966"/>
    <w:rsid w:val="46886190"/>
    <w:rsid w:val="513477FE"/>
    <w:rsid w:val="6A1878E9"/>
    <w:rsid w:val="6E3851B0"/>
    <w:rsid w:val="7BA41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before="0" w:after="140" w:line="276" w:lineRule="auto"/>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rPr>
  </w:style>
  <w:style w:type="paragraph" w:customStyle="1" w:styleId="8">
    <w:name w:val="〖B02〗二级标题"/>
    <w:basedOn w:val="1"/>
    <w:next w:val="1"/>
    <w:autoRedefine/>
    <w:qFormat/>
    <w:uiPriority w:val="0"/>
    <w:pPr>
      <w:numPr>
        <w:ilvl w:val="0"/>
        <w:numId w:val="1"/>
      </w:numPr>
      <w:suppressAutoHyphens w:val="0"/>
      <w:topLinePunct/>
      <w:spacing w:line="600" w:lineRule="exact"/>
      <w:outlineLvl w:val="1"/>
    </w:pPr>
    <w:rPr>
      <w:rFonts w:ascii="楷体_GB2312" w:eastAsia="楷体_GB2312"/>
      <w:sz w:val="32"/>
      <w:szCs w:val="32"/>
    </w:rPr>
  </w:style>
  <w:style w:type="character" w:customStyle="1" w:styleId="9">
    <w:name w:val="font61"/>
    <w:basedOn w:val="6"/>
    <w:qFormat/>
    <w:uiPriority w:val="0"/>
    <w:rPr>
      <w:rFonts w:hint="eastAsia" w:ascii="宋体" w:hAnsi="宋体" w:eastAsia="宋体" w:cs="宋体"/>
      <w:color w:val="000000"/>
      <w:sz w:val="22"/>
      <w:szCs w:val="22"/>
      <w:u w:val="none"/>
    </w:rPr>
  </w:style>
  <w:style w:type="character" w:customStyle="1" w:styleId="10">
    <w:name w:val="font11"/>
    <w:basedOn w:val="6"/>
    <w:autoRedefine/>
    <w:qFormat/>
    <w:uiPriority w:val="0"/>
    <w:rPr>
      <w:rFonts w:hint="eastAsia" w:ascii="宋体" w:hAnsi="宋体" w:eastAsia="宋体" w:cs="宋体"/>
      <w:b/>
      <w:color w:val="000000"/>
      <w:sz w:val="22"/>
      <w:szCs w:val="22"/>
      <w:u w:val="none"/>
    </w:rPr>
  </w:style>
  <w:style w:type="character" w:customStyle="1" w:styleId="11">
    <w:name w:val="font31"/>
    <w:basedOn w:val="6"/>
    <w:autoRedefine/>
    <w:qFormat/>
    <w:uiPriority w:val="0"/>
    <w:rPr>
      <w:rFonts w:hint="eastAsia" w:ascii="宋体" w:hAnsi="宋体" w:eastAsia="宋体" w:cs="宋体"/>
      <w:color w:val="000000"/>
      <w:sz w:val="22"/>
      <w:szCs w:val="22"/>
      <w:u w:val="none"/>
    </w:rPr>
  </w:style>
  <w:style w:type="paragraph" w:styleId="12">
    <w:name w:val="List Paragraph"/>
    <w:basedOn w:val="1"/>
    <w:autoRedefine/>
    <w:qFormat/>
    <w:uiPriority w:val="1"/>
    <w:pPr>
      <w:ind w:left="280" w:firstLine="640"/>
    </w:pPr>
    <w:rPr>
      <w:rFonts w:ascii="宋体" w:hAnsi="宋体" w:eastAsia="宋体" w:cs="宋体"/>
      <w:lang w:val="zh-CN" w:eastAsia="zh-CN" w:bidi="zh-CN"/>
    </w:rPr>
  </w:style>
  <w:style w:type="paragraph" w:customStyle="1" w:styleId="13">
    <w:name w:val="〖C01〗正文"/>
    <w:basedOn w:val="1"/>
    <w:autoRedefine/>
    <w:qFormat/>
    <w:uiPriority w:val="0"/>
    <w:pPr>
      <w:topLinePunct/>
      <w:spacing w:line="600" w:lineRule="exact"/>
      <w:ind w:firstLine="640" w:firstLineChars="200"/>
    </w:pPr>
    <w:rPr>
      <w:rFonts w:ascii="仿宋_GB2312" w:hAnsi="Calibri" w:eastAsia="仿宋_GB2312"/>
      <w:sz w:val="32"/>
      <w:szCs w:val="32"/>
    </w:rPr>
  </w:style>
  <w:style w:type="character" w:customStyle="1" w:styleId="14">
    <w:name w:val="font71"/>
    <w:basedOn w:val="6"/>
    <w:uiPriority w:val="0"/>
    <w:rPr>
      <w:rFonts w:ascii="Dialog . plain" w:hAnsi="Dialog . plain" w:eastAsia="Dialog . plain" w:cs="Dialog . plain"/>
      <w:color w:val="000000"/>
      <w:sz w:val="22"/>
      <w:szCs w:val="22"/>
      <w:u w:val="none"/>
    </w:rPr>
  </w:style>
  <w:style w:type="character" w:customStyle="1" w:styleId="15">
    <w:name w:val="font81"/>
    <w:basedOn w:val="6"/>
    <w:uiPriority w:val="0"/>
    <w:rPr>
      <w:rFonts w:ascii="Dialog . bold" w:hAnsi="Dialog . bold" w:eastAsia="Dialog . bold" w:cs="Dialog . bold"/>
      <w:b/>
      <w:bCs/>
      <w:color w:val="000000"/>
      <w:sz w:val="22"/>
      <w:szCs w:val="22"/>
      <w:u w:val="none"/>
    </w:rPr>
  </w:style>
  <w:style w:type="character" w:customStyle="1" w:styleId="16">
    <w:name w:val="font51"/>
    <w:basedOn w:val="6"/>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6746</Words>
  <Characters>8349</Characters>
  <Lines>0</Lines>
  <Paragraphs>0</Paragraphs>
  <TotalTime>285</TotalTime>
  <ScaleCrop>false</ScaleCrop>
  <LinksUpToDate>false</LinksUpToDate>
  <CharactersWithSpaces>8640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2022-04-17T10:02:00Z</dcterms:created>
  <dc:creator>唐儆廉</dc:creator>
  <cp:lastModifiedBy>吴刚13881386287</cp:lastModifiedBy>
  <dcterms:modified xsi:type="dcterms:W3CDTF">2024-03-06T15:46:52Z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FD79DD28EA7145458CFA73147E790DB9_13</vt:lpwstr>
  </property>
</Properties>
</file>